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E89" w:rsidRPr="00C17E89" w:rsidRDefault="00C17E89" w:rsidP="00C17E89">
      <w:pPr>
        <w:spacing w:after="0" w:line="240" w:lineRule="auto"/>
        <w:jc w:val="center"/>
        <w:rPr>
          <w:rFonts w:ascii="Arial" w:eastAsia="Calibri" w:hAnsi="Arial" w:cs="Arial"/>
          <w:noProof/>
          <w:sz w:val="24"/>
          <w:szCs w:val="24"/>
        </w:rPr>
      </w:pPr>
      <w:bookmarkStart w:id="0" w:name="_GoBack"/>
      <w:bookmarkEnd w:id="0"/>
      <w:r w:rsidRPr="00C17E89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 wp14:anchorId="6831E704" wp14:editId="5D78839B">
            <wp:extent cx="1504950" cy="1057275"/>
            <wp:effectExtent l="0" t="0" r="0" b="9525"/>
            <wp:docPr id="1" name="Imagen 1" descr="CN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NS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528" cy="108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457" w:rsidRDefault="00356457" w:rsidP="00356457">
      <w:pPr>
        <w:spacing w:line="300" w:lineRule="atLeast"/>
        <w:jc w:val="center"/>
        <w:rPr>
          <w:rFonts w:ascii="Arial" w:hAnsi="Arial" w:cs="Arial"/>
          <w:b/>
          <w:lang w:val="es-DO"/>
        </w:rPr>
      </w:pPr>
      <w:r w:rsidRPr="00356457">
        <w:rPr>
          <w:rFonts w:ascii="Arial" w:hAnsi="Arial" w:cs="Arial"/>
          <w:b/>
          <w:lang w:val="es-DO"/>
        </w:rPr>
        <w:t>“</w:t>
      </w:r>
      <w:r w:rsidRPr="00266430">
        <w:rPr>
          <w:rFonts w:ascii="Arial" w:hAnsi="Arial" w:cs="Arial"/>
          <w:b/>
          <w:bCs/>
          <w:lang w:val="es-DO"/>
        </w:rPr>
        <w:t>Año de la Consolidación de la Seguridad Alimentaria</w:t>
      </w:r>
      <w:r w:rsidRPr="00356457">
        <w:rPr>
          <w:rFonts w:ascii="Arial" w:hAnsi="Arial" w:cs="Arial"/>
          <w:b/>
          <w:lang w:val="es-DO"/>
        </w:rPr>
        <w:t>”</w:t>
      </w:r>
    </w:p>
    <w:p w:rsidR="003B7D6F" w:rsidRDefault="003B7D6F" w:rsidP="003B7D6F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SESION EXTRAORDINARIA No. 493</w:t>
      </w:r>
    </w:p>
    <w:p w:rsidR="003B7D6F" w:rsidRDefault="003B7D6F" w:rsidP="003B7D6F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01 de Junio del 2020, 10:00 a.m. (virtual)</w:t>
      </w:r>
    </w:p>
    <w:p w:rsidR="003B7D6F" w:rsidRDefault="003B7D6F" w:rsidP="00F03E87">
      <w:pPr>
        <w:pStyle w:val="Sinespaciado"/>
        <w:jc w:val="both"/>
        <w:rPr>
          <w:rFonts w:ascii="Arial" w:hAnsi="Arial" w:cs="Arial"/>
          <w:b/>
          <w:u w:val="single"/>
          <w:lang w:val="es-DO"/>
        </w:rPr>
      </w:pPr>
    </w:p>
    <w:p w:rsidR="00F03E87" w:rsidRDefault="00C17E89" w:rsidP="00F03E87">
      <w:pPr>
        <w:pStyle w:val="Sinespaciado"/>
        <w:jc w:val="both"/>
        <w:rPr>
          <w:rFonts w:ascii="Arial" w:hAnsi="Arial" w:cs="Arial"/>
        </w:rPr>
      </w:pPr>
      <w:r w:rsidRPr="007E2D9B">
        <w:rPr>
          <w:rFonts w:ascii="Arial" w:hAnsi="Arial" w:cs="Arial"/>
          <w:b/>
          <w:u w:val="single"/>
          <w:lang w:val="es-DO"/>
        </w:rPr>
        <w:t xml:space="preserve">Resolución No. </w:t>
      </w:r>
      <w:r w:rsidR="00EF042E">
        <w:rPr>
          <w:rFonts w:ascii="Arial" w:hAnsi="Arial" w:cs="Arial"/>
          <w:b/>
          <w:u w:val="single"/>
          <w:lang w:val="es-DO"/>
        </w:rPr>
        <w:t>493-01</w:t>
      </w:r>
      <w:r w:rsidR="00EF042E">
        <w:rPr>
          <w:rFonts w:ascii="Arial" w:hAnsi="Arial" w:cs="Arial"/>
          <w:lang w:val="es-DO"/>
        </w:rPr>
        <w:t>:</w:t>
      </w:r>
      <w:r w:rsidRPr="007E2D9B">
        <w:rPr>
          <w:rFonts w:ascii="Arial" w:hAnsi="Arial" w:cs="Arial"/>
          <w:lang w:val="es-DO"/>
        </w:rPr>
        <w:t xml:space="preserve"> </w:t>
      </w:r>
      <w:r w:rsidR="00F03E87">
        <w:rPr>
          <w:rFonts w:ascii="Arial" w:hAnsi="Arial" w:cs="Arial"/>
          <w:b/>
        </w:rPr>
        <w:t>CONSIDERANDO 1:</w:t>
      </w:r>
      <w:r w:rsidR="00F03E87">
        <w:rPr>
          <w:rFonts w:ascii="Arial" w:hAnsi="Arial" w:cs="Arial"/>
        </w:rPr>
        <w:t xml:space="preserve"> Que la Constitución de la República, en su </w:t>
      </w:r>
      <w:r w:rsidR="00506912">
        <w:rPr>
          <w:rFonts w:ascii="Arial" w:hAnsi="Arial" w:cs="Arial"/>
        </w:rPr>
        <w:t>a</w:t>
      </w:r>
      <w:r w:rsidR="00F03E87">
        <w:rPr>
          <w:rFonts w:ascii="Arial" w:hAnsi="Arial" w:cs="Arial"/>
        </w:rPr>
        <w:t xml:space="preserve">rtículo 8, establece como función esencial del Estado, la protección efectiva de la persona, el respeto de su dignidad y la obtención de los medios que le permitan perfeccionarse de forma igualitaria, equitativa y progresiva, dentro de un marco de libertad individual y de justicia social, compatibles con el orden público, el bienestar general y los derechos de todos y todas. </w:t>
      </w:r>
    </w:p>
    <w:p w:rsidR="00F03E87" w:rsidRDefault="00F03E87" w:rsidP="00F03E87">
      <w:pPr>
        <w:pStyle w:val="Sinespaciado"/>
        <w:jc w:val="both"/>
        <w:rPr>
          <w:rFonts w:ascii="Arial" w:hAnsi="Arial" w:cs="Arial"/>
        </w:rPr>
      </w:pPr>
    </w:p>
    <w:p w:rsidR="00F03E87" w:rsidRDefault="00F03E87" w:rsidP="00F03E87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 2</w:t>
      </w:r>
      <w:r>
        <w:rPr>
          <w:rFonts w:ascii="Arial" w:hAnsi="Arial" w:cs="Arial"/>
        </w:rPr>
        <w:t xml:space="preserve">: Que el </w:t>
      </w:r>
      <w:r w:rsidR="0050691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rtículo 60 de la Constitución establece el derecho a la Seguridad Social como un derecho fundamental, cuando expresa lo siguiente: “Toda persona tiene derecho a la seguridad social. El Estado estimulará el desarrollo progresivo de la seguridad social para asegurar el acceso universal a una adecuada protección en la enfermedad, discapacidad, desocupación y la vejez.” </w:t>
      </w:r>
    </w:p>
    <w:p w:rsidR="00F03E87" w:rsidRDefault="00F03E87" w:rsidP="00F03E87">
      <w:pPr>
        <w:pStyle w:val="Sinespaciado"/>
        <w:jc w:val="both"/>
        <w:rPr>
          <w:rFonts w:ascii="Arial" w:hAnsi="Arial" w:cs="Arial"/>
        </w:rPr>
      </w:pPr>
    </w:p>
    <w:p w:rsidR="00F03E87" w:rsidRDefault="00F03E87" w:rsidP="00F03E87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 3</w:t>
      </w:r>
      <w:r>
        <w:rPr>
          <w:rFonts w:ascii="Arial" w:hAnsi="Arial" w:cs="Arial"/>
        </w:rPr>
        <w:t>: Que en fecha 9 de mayo del 2001, fue promulgada la Ley No. 87-01, que crea el nuevo Sistema Dominicano de Seguridad Social</w:t>
      </w:r>
      <w:r w:rsidR="00506912">
        <w:rPr>
          <w:rFonts w:ascii="Arial" w:hAnsi="Arial" w:cs="Arial"/>
        </w:rPr>
        <w:t xml:space="preserve"> (SDSS)</w:t>
      </w:r>
      <w:r>
        <w:rPr>
          <w:rFonts w:ascii="Arial" w:hAnsi="Arial" w:cs="Arial"/>
        </w:rPr>
        <w:t>, el cual tiene por objeto regular y desarrollar los derechos y deberes recíprocos del Estado y de los ciudadanos, en lo concerniente al financiamiento para la protección de la población contra los riesgos de vejez, discapacidad, cesantía por edad avanzada, sobrevivencia, enfermedad, maternidad, infancia y riesgos laborales.</w:t>
      </w:r>
    </w:p>
    <w:p w:rsidR="00F03E87" w:rsidRDefault="00F03E87" w:rsidP="00F03E87">
      <w:pPr>
        <w:pStyle w:val="Sinespaciado"/>
        <w:jc w:val="both"/>
        <w:rPr>
          <w:rFonts w:ascii="Arial" w:hAnsi="Arial" w:cs="Arial"/>
        </w:rPr>
      </w:pPr>
    </w:p>
    <w:p w:rsidR="00F03E87" w:rsidRDefault="00F03E87" w:rsidP="00F03E87">
      <w:pPr>
        <w:pStyle w:val="Sinespaciad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CONSIDERANDO 4</w:t>
      </w:r>
      <w:r>
        <w:rPr>
          <w:rFonts w:ascii="Arial" w:hAnsi="Arial" w:cs="Arial"/>
          <w:bCs/>
        </w:rPr>
        <w:t xml:space="preserve">: Que el </w:t>
      </w:r>
      <w:r w:rsidR="00506912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rtículo 129 de la indicada Ley, establece que el SDSS garantizará a toda la población dominicana, independiente del régimen financiero a que pertenezca, un Plan Básico de Salud, de carácter integral, compuesto por los servicios descritos en dicho artículo.</w:t>
      </w:r>
    </w:p>
    <w:p w:rsidR="00F03E87" w:rsidRDefault="00F03E87" w:rsidP="00F03E87">
      <w:pPr>
        <w:pStyle w:val="Sinespaciado"/>
        <w:jc w:val="both"/>
        <w:rPr>
          <w:rFonts w:ascii="Arial" w:hAnsi="Arial" w:cs="Arial"/>
          <w:bCs/>
        </w:rPr>
      </w:pPr>
    </w:p>
    <w:p w:rsidR="00F03E87" w:rsidRDefault="00F03E87" w:rsidP="00F03E87">
      <w:pPr>
        <w:pStyle w:val="Sinespaciad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CONSIDERANDO 5: </w:t>
      </w:r>
      <w:r>
        <w:rPr>
          <w:rFonts w:ascii="Arial" w:hAnsi="Arial" w:cs="Arial"/>
          <w:bCs/>
        </w:rPr>
        <w:t>Que el artículo 124 de la Ley No. 87-01, establece que: “Cuando el afiliado quede privado de un trabajo remunerado solicitará una evaluación de su situación, a fin de determinar en cuál de los otros regímenes califica. Durante sesenta (60) días conservará, junto a sus dependientes, el derecho a prestaciones de salud en especie, sin disfrute de prestaciones en dinero”.</w:t>
      </w:r>
    </w:p>
    <w:p w:rsidR="00F03E87" w:rsidRDefault="00F03E87" w:rsidP="00F03E87">
      <w:pPr>
        <w:pStyle w:val="Sinespaciado"/>
        <w:jc w:val="both"/>
        <w:rPr>
          <w:rFonts w:ascii="Arial" w:eastAsiaTheme="minorHAnsi" w:hAnsi="Arial" w:cs="Arial"/>
          <w:bCs/>
          <w:color w:val="000000"/>
          <w:lang w:val="es-DO"/>
        </w:rPr>
      </w:pPr>
    </w:p>
    <w:p w:rsidR="00D83032" w:rsidRDefault="00D83032" w:rsidP="00D83032">
      <w:pPr>
        <w:pStyle w:val="Sinespaciado"/>
        <w:jc w:val="both"/>
        <w:rPr>
          <w:rFonts w:ascii="Arial" w:hAnsi="Arial" w:cs="Arial"/>
          <w:bCs/>
        </w:rPr>
      </w:pPr>
      <w:r>
        <w:rPr>
          <w:rFonts w:ascii="Arial" w:eastAsiaTheme="minorHAnsi" w:hAnsi="Arial" w:cs="Arial"/>
          <w:b/>
          <w:bCs/>
          <w:color w:val="000000"/>
          <w:lang w:val="es-DO"/>
        </w:rPr>
        <w:t>CONSIDERANDO 6</w:t>
      </w:r>
      <w:r>
        <w:rPr>
          <w:rFonts w:ascii="Arial" w:eastAsiaTheme="minorHAnsi" w:hAnsi="Arial" w:cs="Arial"/>
          <w:bCs/>
          <w:color w:val="000000"/>
          <w:lang w:val="es-DO"/>
        </w:rPr>
        <w:t>: Que mediante la Resolución No. 492 de fecha 03 y 07 de abril del año 2020 el CNSS acordó: “</w:t>
      </w:r>
      <w:r>
        <w:rPr>
          <w:rFonts w:ascii="Arial" w:hAnsi="Arial" w:cs="Arial"/>
          <w:b/>
          <w:lang w:val="es-419"/>
        </w:rPr>
        <w:t>PRIMERO:</w:t>
      </w:r>
      <w:r>
        <w:rPr>
          <w:rFonts w:ascii="Arial" w:hAnsi="Arial" w:cs="Arial"/>
          <w:lang w:val="es-419"/>
        </w:rPr>
        <w:t xml:space="preserve"> En atención a lo dispuesto en el </w:t>
      </w:r>
      <w:r w:rsidR="00506912">
        <w:rPr>
          <w:rFonts w:ascii="Arial" w:hAnsi="Arial" w:cs="Arial"/>
          <w:lang w:val="es-419"/>
        </w:rPr>
        <w:t>a</w:t>
      </w:r>
      <w:r>
        <w:rPr>
          <w:rFonts w:ascii="Arial" w:hAnsi="Arial" w:cs="Arial"/>
          <w:lang w:val="es-419"/>
        </w:rPr>
        <w:t xml:space="preserve">rtículo 124 de la Ley 87-01, todos los afiliados que sean privados de un trabajo remunerado, porque sus contratos de trabajo sean suspendidos durante el período de Emergencia Nacional, mantendrán por sesenta (60) días, junto a sus dependientes directos y adicionales, los derechos del Seguro Familiar de Salud (SFS) en especie y sin disfrute de las prestaciones en dinero, siempre y cuando los trabajadores estén incluidos en la factura pagada del mes de febrero del 2020. </w:t>
      </w:r>
      <w:r>
        <w:rPr>
          <w:rFonts w:ascii="Arial" w:hAnsi="Arial" w:cs="Arial"/>
          <w:b/>
          <w:lang w:val="es-419"/>
        </w:rPr>
        <w:t>SEGUNDO:</w:t>
      </w:r>
      <w:r>
        <w:rPr>
          <w:rFonts w:ascii="Arial" w:hAnsi="Arial" w:cs="Arial"/>
          <w:lang w:val="es-419"/>
        </w:rPr>
        <w:t xml:space="preserve"> Extender a noventa (90) días el plazo de cobertura de los recién nacidos para garantizarles los beneficios del SDSS, sin contar con el NSS y permitir a las ARS realizar el reclamo retroactivo de los per cápitas correspondientes, desde el mes de marzo hasta mayo del 2020.</w:t>
      </w:r>
      <w:r>
        <w:rPr>
          <w:rFonts w:ascii="Arial" w:hAnsi="Arial" w:cs="Arial"/>
          <w:b/>
          <w:lang w:val="es-419"/>
        </w:rPr>
        <w:t>TERCERO:</w:t>
      </w:r>
      <w:r>
        <w:rPr>
          <w:rFonts w:ascii="Arial" w:hAnsi="Arial" w:cs="Arial"/>
          <w:lang w:val="es-419"/>
        </w:rPr>
        <w:t xml:space="preserve"> Mantener la </w:t>
      </w:r>
      <w:r>
        <w:rPr>
          <w:rFonts w:ascii="Arial" w:hAnsi="Arial" w:cs="Arial"/>
          <w:lang w:val="es-419"/>
        </w:rPr>
        <w:lastRenderedPageBreak/>
        <w:t>cobertura en los servicios de salud en el SDSS por un plazo de sesenta (60) días a los afiliados dependientes directos, que cumplan durante el Estado de Emergencia dieciocho (18) y veintiún (21) años, siempre que sean estudiantes.</w:t>
      </w:r>
      <w:r>
        <w:rPr>
          <w:rFonts w:ascii="Arial" w:hAnsi="Arial" w:cs="Arial"/>
          <w:lang w:val="es-DO"/>
        </w:rPr>
        <w:t xml:space="preserve"> </w:t>
      </w:r>
      <w:r>
        <w:rPr>
          <w:rFonts w:ascii="Arial" w:hAnsi="Arial" w:cs="Arial"/>
          <w:b/>
          <w:bCs/>
        </w:rPr>
        <w:t xml:space="preserve">CUARTO: </w:t>
      </w:r>
      <w:r>
        <w:rPr>
          <w:rFonts w:ascii="Arial" w:hAnsi="Arial" w:cs="Arial"/>
          <w:bCs/>
        </w:rPr>
        <w:t>Se instruye a la Gerencia General del CNSS notificar la presente resolución a todas las entidades relacionadas para los fines correspondientes; así como, a publicarla en un periódico de circulación nacional”.</w:t>
      </w:r>
    </w:p>
    <w:p w:rsidR="00D83032" w:rsidRPr="00C05D0A" w:rsidRDefault="00D83032" w:rsidP="00F03E87">
      <w:pPr>
        <w:pStyle w:val="Sinespaciado"/>
        <w:jc w:val="both"/>
        <w:rPr>
          <w:rFonts w:ascii="Arial" w:eastAsiaTheme="minorHAnsi" w:hAnsi="Arial" w:cs="Arial"/>
          <w:bCs/>
          <w:color w:val="000000"/>
        </w:rPr>
      </w:pPr>
    </w:p>
    <w:p w:rsidR="008263C7" w:rsidRDefault="00D83032" w:rsidP="00F03E87">
      <w:pPr>
        <w:pStyle w:val="Sinespaciado"/>
        <w:jc w:val="both"/>
        <w:rPr>
          <w:rFonts w:ascii="Arial" w:eastAsiaTheme="minorHAnsi" w:hAnsi="Arial" w:cs="Arial"/>
          <w:b/>
          <w:bCs/>
          <w:color w:val="000000"/>
          <w:lang w:val="es-DO"/>
        </w:rPr>
      </w:pPr>
      <w:r>
        <w:rPr>
          <w:rFonts w:ascii="Arial" w:eastAsiaTheme="minorHAnsi" w:hAnsi="Arial" w:cs="Arial"/>
          <w:b/>
          <w:bCs/>
          <w:color w:val="000000"/>
          <w:lang w:val="es-DO"/>
        </w:rPr>
        <w:t>CONSIDERANDO 7</w:t>
      </w:r>
      <w:r>
        <w:rPr>
          <w:rFonts w:ascii="Arial" w:eastAsiaTheme="minorHAnsi" w:hAnsi="Arial" w:cs="Arial"/>
          <w:bCs/>
          <w:color w:val="000000"/>
          <w:lang w:val="es-DO"/>
        </w:rPr>
        <w:t>: Que</w:t>
      </w:r>
      <w:r w:rsidR="00E25401">
        <w:rPr>
          <w:rFonts w:ascii="Arial" w:eastAsiaTheme="minorHAnsi" w:hAnsi="Arial" w:cs="Arial"/>
          <w:bCs/>
          <w:color w:val="000000"/>
          <w:lang w:val="es-DO"/>
        </w:rPr>
        <w:t xml:space="preserve"> </w:t>
      </w:r>
      <w:r w:rsidR="009D1E06">
        <w:rPr>
          <w:rFonts w:ascii="Arial" w:eastAsiaTheme="minorHAnsi" w:hAnsi="Arial" w:cs="Arial"/>
          <w:bCs/>
          <w:color w:val="000000"/>
          <w:lang w:val="es-DO"/>
        </w:rPr>
        <w:t>un gran</w:t>
      </w:r>
      <w:r w:rsidR="00E25401">
        <w:rPr>
          <w:rFonts w:ascii="Arial" w:eastAsiaTheme="minorHAnsi" w:hAnsi="Arial" w:cs="Arial"/>
          <w:bCs/>
          <w:color w:val="000000"/>
          <w:lang w:val="es-DO"/>
        </w:rPr>
        <w:t xml:space="preserve"> n</w:t>
      </w:r>
      <w:r w:rsidR="009D1E06">
        <w:rPr>
          <w:rFonts w:ascii="Arial" w:eastAsiaTheme="minorHAnsi" w:hAnsi="Arial" w:cs="Arial"/>
          <w:bCs/>
          <w:color w:val="000000"/>
          <w:lang w:val="es-DO"/>
        </w:rPr>
        <w:t>úmero de trabajadores continúan siendo afectados por la suspensión de los efectos de sus contratos de trabajo</w:t>
      </w:r>
      <w:r w:rsidR="009A65F1">
        <w:rPr>
          <w:rFonts w:ascii="Arial" w:eastAsiaTheme="minorHAnsi" w:hAnsi="Arial" w:cs="Arial"/>
          <w:bCs/>
          <w:color w:val="000000"/>
          <w:lang w:val="es-DO"/>
        </w:rPr>
        <w:t>,</w:t>
      </w:r>
      <w:r w:rsidR="009D1E06">
        <w:rPr>
          <w:rFonts w:ascii="Arial" w:eastAsiaTheme="minorHAnsi" w:hAnsi="Arial" w:cs="Arial"/>
          <w:bCs/>
          <w:color w:val="000000"/>
          <w:lang w:val="es-DO"/>
        </w:rPr>
        <w:t xml:space="preserve"> </w:t>
      </w:r>
      <w:r w:rsidR="008D78BA">
        <w:rPr>
          <w:rFonts w:ascii="Arial" w:eastAsiaTheme="minorHAnsi" w:hAnsi="Arial" w:cs="Arial"/>
          <w:bCs/>
          <w:color w:val="000000"/>
          <w:lang w:val="es-DO"/>
        </w:rPr>
        <w:t xml:space="preserve">y </w:t>
      </w:r>
      <w:r w:rsidR="009D1E06">
        <w:rPr>
          <w:rFonts w:ascii="Arial" w:eastAsiaTheme="minorHAnsi" w:hAnsi="Arial" w:cs="Arial"/>
          <w:bCs/>
          <w:color w:val="000000"/>
          <w:lang w:val="es-DO"/>
        </w:rPr>
        <w:t xml:space="preserve"> ya se les venció el período de protección de sesenta días para atenciones médicas y otros, otorgados</w:t>
      </w:r>
      <w:r w:rsidR="008D78BA">
        <w:rPr>
          <w:rFonts w:ascii="Arial" w:eastAsiaTheme="minorHAnsi" w:hAnsi="Arial" w:cs="Arial"/>
          <w:bCs/>
          <w:color w:val="000000"/>
          <w:lang w:val="es-DO"/>
        </w:rPr>
        <w:t xml:space="preserve"> por</w:t>
      </w:r>
      <w:r w:rsidR="009D1E06">
        <w:rPr>
          <w:rFonts w:ascii="Arial" w:eastAsiaTheme="minorHAnsi" w:hAnsi="Arial" w:cs="Arial"/>
          <w:bCs/>
          <w:color w:val="000000"/>
          <w:lang w:val="es-DO"/>
        </w:rPr>
        <w:t xml:space="preserve">  </w:t>
      </w:r>
      <w:r w:rsidR="00E25401">
        <w:rPr>
          <w:rFonts w:ascii="Arial" w:eastAsiaTheme="minorHAnsi" w:hAnsi="Arial" w:cs="Arial"/>
          <w:bCs/>
          <w:color w:val="000000"/>
          <w:lang w:val="es-DO"/>
        </w:rPr>
        <w:t>la Resolución No. 492</w:t>
      </w:r>
      <w:r w:rsidR="008D78BA">
        <w:rPr>
          <w:rFonts w:ascii="Arial" w:eastAsiaTheme="minorHAnsi" w:hAnsi="Arial" w:cs="Arial"/>
          <w:bCs/>
          <w:color w:val="000000"/>
          <w:lang w:val="es-DO"/>
        </w:rPr>
        <w:t>,</w:t>
      </w:r>
      <w:r w:rsidR="00E25401">
        <w:rPr>
          <w:rFonts w:ascii="Arial" w:eastAsiaTheme="minorHAnsi" w:hAnsi="Arial" w:cs="Arial"/>
          <w:bCs/>
          <w:color w:val="000000"/>
          <w:lang w:val="es-DO"/>
        </w:rPr>
        <w:t xml:space="preserve"> de fecha 03 y 07 de abril del año 2020, del CNSS</w:t>
      </w:r>
      <w:r w:rsidR="008263C7">
        <w:rPr>
          <w:rFonts w:ascii="Arial" w:eastAsiaTheme="minorHAnsi" w:hAnsi="Arial" w:cs="Arial"/>
          <w:bCs/>
          <w:color w:val="000000"/>
          <w:lang w:val="es-DO"/>
        </w:rPr>
        <w:t>; sin embargo,</w:t>
      </w:r>
      <w:r w:rsidR="00E25401">
        <w:rPr>
          <w:rFonts w:ascii="Arial" w:eastAsiaTheme="minorHAnsi" w:hAnsi="Arial" w:cs="Arial"/>
          <w:bCs/>
          <w:color w:val="000000"/>
          <w:lang w:val="es-DO"/>
        </w:rPr>
        <w:t xml:space="preserve"> persisten en la actualidad, las causas que motivaron la emisi</w:t>
      </w:r>
      <w:r w:rsidR="009D1E06">
        <w:rPr>
          <w:rFonts w:ascii="Arial" w:eastAsiaTheme="minorHAnsi" w:hAnsi="Arial" w:cs="Arial"/>
          <w:bCs/>
          <w:color w:val="000000"/>
          <w:lang w:val="es-DO"/>
        </w:rPr>
        <w:t>ón de dicha</w:t>
      </w:r>
      <w:r w:rsidR="00E25401">
        <w:rPr>
          <w:rFonts w:ascii="Arial" w:eastAsiaTheme="minorHAnsi" w:hAnsi="Arial" w:cs="Arial"/>
          <w:bCs/>
          <w:color w:val="000000"/>
          <w:lang w:val="es-DO"/>
        </w:rPr>
        <w:t xml:space="preserve"> Resolución, ya que se mantiene la situación de Emergencia Nacional provocada por los efectos de la Pandemia del </w:t>
      </w:r>
      <w:r w:rsidR="009D1E06">
        <w:rPr>
          <w:rFonts w:ascii="Arial" w:eastAsiaTheme="minorHAnsi" w:hAnsi="Arial" w:cs="Arial"/>
          <w:bCs/>
          <w:color w:val="000000"/>
          <w:lang w:val="es-DO"/>
        </w:rPr>
        <w:t>COVID-1</w:t>
      </w:r>
      <w:r w:rsidR="008D78BA">
        <w:rPr>
          <w:rFonts w:ascii="Arial" w:eastAsiaTheme="minorHAnsi" w:hAnsi="Arial" w:cs="Arial"/>
          <w:bCs/>
          <w:color w:val="000000"/>
          <w:lang w:val="es-DO"/>
        </w:rPr>
        <w:t>9</w:t>
      </w:r>
      <w:r w:rsidR="009D1E06">
        <w:rPr>
          <w:rFonts w:ascii="Arial" w:eastAsiaTheme="minorHAnsi" w:hAnsi="Arial" w:cs="Arial"/>
          <w:bCs/>
          <w:color w:val="000000"/>
          <w:lang w:val="es-DO"/>
        </w:rPr>
        <w:t>; en vista de lo anterior, es necesario extender por treinta (30) días más los efectos de las disposiciones</w:t>
      </w:r>
      <w:r w:rsidR="008263C7">
        <w:rPr>
          <w:rFonts w:ascii="Arial" w:eastAsiaTheme="minorHAnsi" w:hAnsi="Arial" w:cs="Arial"/>
          <w:bCs/>
          <w:color w:val="000000"/>
          <w:lang w:val="es-DO"/>
        </w:rPr>
        <w:t xml:space="preserve"> previstas en el artículo PRIMERO </w:t>
      </w:r>
      <w:r w:rsidR="009D1E06">
        <w:rPr>
          <w:rFonts w:ascii="Arial" w:eastAsiaTheme="minorHAnsi" w:hAnsi="Arial" w:cs="Arial"/>
          <w:bCs/>
          <w:color w:val="000000"/>
          <w:lang w:val="es-DO"/>
        </w:rPr>
        <w:t>de la referida Resolución</w:t>
      </w:r>
      <w:r w:rsidR="00A42A8F">
        <w:rPr>
          <w:rFonts w:ascii="Arial" w:eastAsiaTheme="minorHAnsi" w:hAnsi="Arial" w:cs="Arial"/>
          <w:bCs/>
          <w:color w:val="000000"/>
          <w:lang w:val="es-DO"/>
        </w:rPr>
        <w:t xml:space="preserve"> del CNSS No.</w:t>
      </w:r>
      <w:r w:rsidR="008D78BA">
        <w:rPr>
          <w:rFonts w:ascii="Arial" w:eastAsiaTheme="minorHAnsi" w:hAnsi="Arial" w:cs="Arial"/>
          <w:bCs/>
          <w:color w:val="000000"/>
          <w:lang w:val="es-DO"/>
        </w:rPr>
        <w:t xml:space="preserve"> 492</w:t>
      </w:r>
      <w:r w:rsidR="008263C7">
        <w:rPr>
          <w:rFonts w:ascii="Arial" w:eastAsiaTheme="minorHAnsi" w:hAnsi="Arial" w:cs="Arial"/>
          <w:b/>
          <w:bCs/>
          <w:color w:val="000000"/>
          <w:lang w:val="es-DO"/>
        </w:rPr>
        <w:t>.</w:t>
      </w:r>
    </w:p>
    <w:p w:rsidR="008263C7" w:rsidRDefault="008263C7" w:rsidP="00F03E87">
      <w:pPr>
        <w:pStyle w:val="Sinespaciado"/>
        <w:jc w:val="both"/>
        <w:rPr>
          <w:rFonts w:ascii="Arial" w:eastAsiaTheme="minorHAnsi" w:hAnsi="Arial" w:cs="Arial"/>
          <w:b/>
          <w:bCs/>
          <w:color w:val="000000"/>
          <w:lang w:val="es-DO"/>
        </w:rPr>
      </w:pPr>
    </w:p>
    <w:p w:rsidR="00F03E87" w:rsidRDefault="00F03E87" w:rsidP="00F03E87">
      <w:pPr>
        <w:pStyle w:val="Sinespaciado"/>
        <w:jc w:val="both"/>
        <w:rPr>
          <w:rFonts w:ascii="Arial" w:eastAsiaTheme="minorHAnsi" w:hAnsi="Arial" w:cs="Arial"/>
          <w:bCs/>
          <w:color w:val="000000"/>
          <w:lang w:val="es-DO"/>
        </w:rPr>
      </w:pPr>
      <w:r>
        <w:rPr>
          <w:rFonts w:ascii="Arial" w:eastAsiaTheme="minorHAnsi" w:hAnsi="Arial" w:cs="Arial"/>
          <w:b/>
          <w:bCs/>
          <w:color w:val="000000"/>
          <w:lang w:val="es-DO"/>
        </w:rPr>
        <w:t xml:space="preserve">CONSIDERANDO </w:t>
      </w:r>
      <w:r w:rsidR="00E25401">
        <w:rPr>
          <w:rFonts w:ascii="Arial" w:eastAsiaTheme="minorHAnsi" w:hAnsi="Arial" w:cs="Arial"/>
          <w:b/>
          <w:bCs/>
          <w:color w:val="000000"/>
          <w:lang w:val="es-DO"/>
        </w:rPr>
        <w:t>8</w:t>
      </w:r>
      <w:r>
        <w:rPr>
          <w:rFonts w:ascii="Arial" w:eastAsiaTheme="minorHAnsi" w:hAnsi="Arial" w:cs="Arial"/>
          <w:bCs/>
          <w:color w:val="000000"/>
          <w:lang w:val="es-DO"/>
        </w:rPr>
        <w:t xml:space="preserve">: </w:t>
      </w:r>
      <w:r w:rsidR="001731C4">
        <w:rPr>
          <w:rFonts w:ascii="Arial" w:eastAsiaTheme="minorHAnsi" w:hAnsi="Arial" w:cs="Arial"/>
          <w:bCs/>
          <w:color w:val="000000"/>
          <w:lang w:val="es-DO"/>
        </w:rPr>
        <w:t>Que en caso de no aprobarse la cobertura por treinta (30) días del Seguro Familiar de Salud (SFS), dichos trabajadores, sus dependientes y adicionales, quedarían desprotegidos y dejados a la merced de su suerte, lo que para éstos podría ser catastrófico</w:t>
      </w:r>
      <w:r w:rsidR="00461017">
        <w:rPr>
          <w:rFonts w:ascii="Arial" w:eastAsiaTheme="minorHAnsi" w:hAnsi="Arial" w:cs="Arial"/>
          <w:bCs/>
          <w:color w:val="000000"/>
          <w:lang w:val="es-DO"/>
        </w:rPr>
        <w:t xml:space="preserve"> e </w:t>
      </w:r>
      <w:r w:rsidR="001731C4">
        <w:rPr>
          <w:rFonts w:ascii="Arial" w:eastAsiaTheme="minorHAnsi" w:hAnsi="Arial" w:cs="Arial"/>
          <w:bCs/>
          <w:color w:val="000000"/>
          <w:lang w:val="es-DO"/>
        </w:rPr>
        <w:t>inhumano y contrario a los principios rectores de la Seguridad Social, tomando en cuenta el estado de emergencia nacional que vive el país, en virtud de los efectos del COVID-19.</w:t>
      </w:r>
    </w:p>
    <w:p w:rsidR="001731C4" w:rsidRDefault="001731C4" w:rsidP="00F03E87">
      <w:pPr>
        <w:pStyle w:val="Sinespaciado"/>
        <w:jc w:val="both"/>
        <w:rPr>
          <w:rFonts w:ascii="Arial" w:eastAsiaTheme="minorHAnsi" w:hAnsi="Arial" w:cs="Arial"/>
          <w:bCs/>
          <w:color w:val="000000"/>
          <w:lang w:val="es-DO"/>
        </w:rPr>
      </w:pPr>
    </w:p>
    <w:p w:rsidR="00F03E87" w:rsidRDefault="00F03E87" w:rsidP="00F03E87">
      <w:pPr>
        <w:pStyle w:val="Sinespaciado"/>
        <w:jc w:val="both"/>
        <w:rPr>
          <w:rFonts w:ascii="Arial" w:eastAsiaTheme="minorHAnsi" w:hAnsi="Arial" w:cs="Arial"/>
          <w:bCs/>
          <w:color w:val="000000"/>
          <w:lang w:val="es-DO"/>
        </w:rPr>
      </w:pPr>
      <w:r>
        <w:rPr>
          <w:rFonts w:ascii="Arial" w:eastAsiaTheme="minorHAnsi" w:hAnsi="Arial" w:cs="Arial"/>
          <w:b/>
          <w:bCs/>
          <w:color w:val="000000"/>
          <w:lang w:val="es-DO"/>
        </w:rPr>
        <w:t xml:space="preserve">CONSIDERANDO </w:t>
      </w:r>
      <w:r w:rsidR="00E25401">
        <w:rPr>
          <w:rFonts w:ascii="Arial" w:eastAsiaTheme="minorHAnsi" w:hAnsi="Arial" w:cs="Arial"/>
          <w:b/>
          <w:bCs/>
          <w:color w:val="000000"/>
          <w:lang w:val="es-DO"/>
        </w:rPr>
        <w:t>9</w:t>
      </w:r>
      <w:r>
        <w:rPr>
          <w:rFonts w:ascii="Arial" w:eastAsiaTheme="minorHAnsi" w:hAnsi="Arial" w:cs="Arial"/>
          <w:bCs/>
          <w:color w:val="000000"/>
          <w:lang w:val="es-DO"/>
        </w:rPr>
        <w:t xml:space="preserve">: Que en atención a esta situación el Gobierno Dominicano ha ido adoptando de manera escalonada una serie de medidas y políticas, de carácter económico y social conforme las recomendaciones de las autoridades internacionales de salud, imprescindibles para procurar el menor número de personas afectadas posible. </w:t>
      </w:r>
    </w:p>
    <w:p w:rsidR="00F03E87" w:rsidRDefault="00F03E87" w:rsidP="00F03E87">
      <w:pPr>
        <w:pStyle w:val="Sinespaciado"/>
        <w:jc w:val="both"/>
        <w:rPr>
          <w:rFonts w:ascii="Arial" w:eastAsiaTheme="minorHAnsi" w:hAnsi="Arial" w:cs="Arial"/>
          <w:bCs/>
          <w:color w:val="000000"/>
          <w:lang w:val="es-DO"/>
        </w:rPr>
      </w:pPr>
    </w:p>
    <w:p w:rsidR="00F03E87" w:rsidRDefault="00F03E87" w:rsidP="00F03E87">
      <w:pPr>
        <w:pStyle w:val="Sinespaciado"/>
        <w:jc w:val="both"/>
        <w:rPr>
          <w:rFonts w:ascii="Arial" w:eastAsiaTheme="minorHAnsi" w:hAnsi="Arial" w:cs="Arial"/>
          <w:bCs/>
          <w:color w:val="000000"/>
          <w:lang w:val="es-DO"/>
        </w:rPr>
      </w:pPr>
      <w:r>
        <w:rPr>
          <w:rFonts w:ascii="Arial" w:eastAsiaTheme="minorHAnsi" w:hAnsi="Arial" w:cs="Arial"/>
          <w:b/>
          <w:bCs/>
          <w:color w:val="000000"/>
          <w:lang w:val="es-DO"/>
        </w:rPr>
        <w:t xml:space="preserve">CONSIDERANDO </w:t>
      </w:r>
      <w:r w:rsidR="00E25401">
        <w:rPr>
          <w:rFonts w:ascii="Arial" w:eastAsiaTheme="minorHAnsi" w:hAnsi="Arial" w:cs="Arial"/>
          <w:b/>
          <w:bCs/>
          <w:color w:val="000000"/>
          <w:lang w:val="es-DO"/>
        </w:rPr>
        <w:t>10</w:t>
      </w:r>
      <w:r>
        <w:rPr>
          <w:rFonts w:ascii="Arial" w:eastAsiaTheme="minorHAnsi" w:hAnsi="Arial" w:cs="Arial"/>
          <w:bCs/>
          <w:color w:val="000000"/>
          <w:lang w:val="es-DO"/>
        </w:rPr>
        <w:t xml:space="preserve">: Que en fecha diecinueve </w:t>
      </w:r>
      <w:bookmarkStart w:id="1" w:name="_Hlk35806449"/>
      <w:r>
        <w:rPr>
          <w:rFonts w:ascii="Arial" w:eastAsiaTheme="minorHAnsi" w:hAnsi="Arial" w:cs="Arial"/>
          <w:bCs/>
          <w:color w:val="000000"/>
          <w:lang w:val="es-DO"/>
        </w:rPr>
        <w:t>(19) de marzo del año dos mil veinte (2020) fue promulgado por el Poder Ejecutivo el Decreto No. 134-20 en virtud del cual se declara el estado de emergencia en todo el territorio nacional y se dispusieron restricciones por un período de tiempo de 25 días a las libertades de tránsito, asociación y reunión de acuerdo con lo dispuesto por los literales h) y j) del numeral 6 del artículo 266 de la Constitución Dominicana y los numerales 8 y 10 del artículo 11, de la Ley No. 21-18</w:t>
      </w:r>
      <w:r w:rsidR="00EF042E">
        <w:rPr>
          <w:rFonts w:ascii="Arial" w:eastAsiaTheme="minorHAnsi" w:hAnsi="Arial" w:cs="Arial"/>
          <w:bCs/>
          <w:color w:val="000000"/>
          <w:lang w:val="es-DO"/>
        </w:rPr>
        <w:t>,</w:t>
      </w:r>
      <w:r>
        <w:rPr>
          <w:rFonts w:ascii="Arial" w:eastAsiaTheme="minorHAnsi" w:hAnsi="Arial" w:cs="Arial"/>
          <w:bCs/>
          <w:color w:val="000000"/>
          <w:lang w:val="es-DO"/>
        </w:rPr>
        <w:t xml:space="preserve"> </w:t>
      </w:r>
      <w:r w:rsidR="00EF042E">
        <w:rPr>
          <w:rFonts w:ascii="Arial" w:eastAsiaTheme="minorHAnsi" w:hAnsi="Arial" w:cs="Arial"/>
          <w:bCs/>
          <w:color w:val="000000"/>
          <w:lang w:val="es-DO"/>
        </w:rPr>
        <w:t>m</w:t>
      </w:r>
      <w:r>
        <w:rPr>
          <w:rFonts w:ascii="Arial" w:eastAsiaTheme="minorHAnsi" w:hAnsi="Arial" w:cs="Arial"/>
          <w:bCs/>
          <w:color w:val="000000"/>
          <w:lang w:val="es-DO"/>
        </w:rPr>
        <w:t>edidas que</w:t>
      </w:r>
      <w:r w:rsidR="00EF042E">
        <w:rPr>
          <w:rFonts w:ascii="Arial" w:eastAsiaTheme="minorHAnsi" w:hAnsi="Arial" w:cs="Arial"/>
          <w:bCs/>
          <w:color w:val="000000"/>
          <w:lang w:val="es-DO"/>
        </w:rPr>
        <w:t xml:space="preserve"> se han ido extendiendo y han sido </w:t>
      </w:r>
      <w:r>
        <w:rPr>
          <w:rFonts w:ascii="Arial" w:eastAsiaTheme="minorHAnsi" w:hAnsi="Arial" w:cs="Arial"/>
          <w:bCs/>
          <w:color w:val="000000"/>
          <w:lang w:val="es-DO"/>
        </w:rPr>
        <w:t>adoptadas de conformidad con las directrices de la Organización Mundial de la Salud (OMS), la Organización Panamericana de la Salud (OPS) y la práctica internacional para prevenir la aglomeración de personas que puedan contribuir a propagar el COVID-19.</w:t>
      </w:r>
      <w:bookmarkEnd w:id="1"/>
    </w:p>
    <w:p w:rsidR="00F03E87" w:rsidRDefault="00F03E87" w:rsidP="00F03E87">
      <w:pPr>
        <w:pStyle w:val="Sinespaciado"/>
        <w:jc w:val="both"/>
        <w:rPr>
          <w:rFonts w:ascii="Arial" w:eastAsiaTheme="minorHAnsi" w:hAnsi="Arial" w:cs="Arial"/>
          <w:bCs/>
          <w:color w:val="000000"/>
          <w:lang w:val="es-DO"/>
        </w:rPr>
      </w:pPr>
    </w:p>
    <w:p w:rsidR="00F03E87" w:rsidRDefault="00F03E87" w:rsidP="00F03E87">
      <w:pPr>
        <w:pStyle w:val="Sinespaciado"/>
        <w:jc w:val="both"/>
        <w:rPr>
          <w:rFonts w:ascii="Arial" w:eastAsia="Times New Roman" w:hAnsi="Arial" w:cs="Arial"/>
          <w:bCs/>
          <w:lang w:eastAsia="es-ES"/>
        </w:rPr>
      </w:pPr>
      <w:r>
        <w:rPr>
          <w:rFonts w:ascii="Arial" w:hAnsi="Arial" w:cs="Arial"/>
          <w:b/>
          <w:bCs/>
        </w:rPr>
        <w:t xml:space="preserve">CONSIDERANDO </w:t>
      </w:r>
      <w:r w:rsidR="00E25401">
        <w:rPr>
          <w:rFonts w:ascii="Arial" w:hAnsi="Arial" w:cs="Arial"/>
          <w:b/>
          <w:bCs/>
        </w:rPr>
        <w:t>11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>Que, de conformidad con lo establecido por el artículo 22 de la Ley No. 87-01, el CNSS tiene a su cargo la dirección y conducción del SDSS y como tal, es responsable de establecer las políticas, regular el funcionamiento del sistema y de sus instituciones, garantizar la extensión de cobertura, defender a los beneficiarios, así como de velar por el desarrollo institucional, la integralidad de sus programas y el equilibrio financiero del SDSS.</w:t>
      </w:r>
    </w:p>
    <w:p w:rsidR="00F03E87" w:rsidRDefault="00F03E87" w:rsidP="00F03E87">
      <w:pPr>
        <w:pStyle w:val="Sinespaciado"/>
        <w:jc w:val="both"/>
        <w:rPr>
          <w:rFonts w:ascii="Arial" w:eastAsiaTheme="minorHAnsi" w:hAnsi="Arial" w:cs="Arial"/>
          <w:bCs/>
          <w:color w:val="000000"/>
          <w:lang w:val="es-DO"/>
        </w:rPr>
      </w:pPr>
    </w:p>
    <w:p w:rsidR="00F03E87" w:rsidRDefault="00F03E87" w:rsidP="00F03E87">
      <w:pPr>
        <w:pStyle w:val="Sinespaciado"/>
        <w:jc w:val="both"/>
        <w:rPr>
          <w:rFonts w:ascii="Arial" w:eastAsiaTheme="minorHAnsi" w:hAnsi="Arial" w:cs="Arial"/>
          <w:bCs/>
          <w:color w:val="000000"/>
          <w:lang w:val="es-DO"/>
        </w:rPr>
      </w:pPr>
      <w:r>
        <w:rPr>
          <w:rFonts w:ascii="Arial" w:eastAsiaTheme="minorHAnsi" w:hAnsi="Arial" w:cs="Arial"/>
          <w:b/>
          <w:bCs/>
          <w:color w:val="000000"/>
          <w:lang w:val="es-DO"/>
        </w:rPr>
        <w:t>VISTOS:</w:t>
      </w:r>
      <w:r>
        <w:rPr>
          <w:rFonts w:ascii="Arial" w:eastAsiaTheme="minorHAnsi" w:hAnsi="Arial" w:cs="Arial"/>
          <w:bCs/>
          <w:color w:val="000000"/>
          <w:lang w:val="es-DO"/>
        </w:rPr>
        <w:t xml:space="preserve"> La Constitución de la República, la Ley 87</w:t>
      </w:r>
      <w:r>
        <w:rPr>
          <w:rFonts w:ascii="Cambria Math" w:eastAsiaTheme="minorHAnsi" w:hAnsi="Cambria Math" w:cs="Cambria Math"/>
          <w:bCs/>
          <w:color w:val="000000"/>
          <w:lang w:val="es-DO"/>
        </w:rPr>
        <w:t>‐</w:t>
      </w:r>
      <w:r>
        <w:rPr>
          <w:rFonts w:ascii="Arial" w:eastAsiaTheme="minorHAnsi" w:hAnsi="Arial" w:cs="Arial"/>
          <w:bCs/>
          <w:color w:val="000000"/>
          <w:lang w:val="es-DO"/>
        </w:rPr>
        <w:t xml:space="preserve">01, que crea el Sistema Dominicano de Seguridad Social y sus modificaciones, el Reglamento sobre el Seguro Familiar de Salud y el Plan Básico. </w:t>
      </w:r>
    </w:p>
    <w:p w:rsidR="00F03E87" w:rsidRDefault="00F03E87" w:rsidP="00F03E87">
      <w:pPr>
        <w:pStyle w:val="Sinespaciado"/>
        <w:jc w:val="both"/>
        <w:rPr>
          <w:rFonts w:ascii="Arial" w:eastAsiaTheme="minorHAnsi" w:hAnsi="Arial" w:cs="Arial"/>
          <w:bCs/>
          <w:color w:val="000000"/>
          <w:lang w:val="es-DO"/>
        </w:rPr>
      </w:pPr>
    </w:p>
    <w:p w:rsidR="00F03E87" w:rsidRDefault="00F03E87" w:rsidP="00F03E87">
      <w:pPr>
        <w:pStyle w:val="Sinespaciado"/>
        <w:jc w:val="both"/>
        <w:rPr>
          <w:rFonts w:ascii="Arial" w:eastAsiaTheme="minorHAnsi" w:hAnsi="Arial" w:cs="Arial"/>
          <w:bCs/>
          <w:color w:val="000000"/>
          <w:lang w:val="es-DO"/>
        </w:rPr>
      </w:pPr>
      <w:r>
        <w:rPr>
          <w:rFonts w:ascii="Arial" w:eastAsiaTheme="minorHAnsi" w:hAnsi="Arial" w:cs="Arial"/>
          <w:bCs/>
          <w:color w:val="000000"/>
          <w:lang w:val="es-DO"/>
        </w:rPr>
        <w:t>El Consejo Nacional de Seguridad Social</w:t>
      </w:r>
      <w:r w:rsidR="00506912">
        <w:rPr>
          <w:rFonts w:ascii="Arial" w:eastAsiaTheme="minorHAnsi" w:hAnsi="Arial" w:cs="Arial"/>
          <w:bCs/>
          <w:color w:val="000000"/>
          <w:lang w:val="es-DO"/>
        </w:rPr>
        <w:t xml:space="preserve"> (CNSS)</w:t>
      </w:r>
      <w:r>
        <w:rPr>
          <w:rFonts w:ascii="Arial" w:eastAsiaTheme="minorHAnsi" w:hAnsi="Arial" w:cs="Arial"/>
          <w:bCs/>
          <w:color w:val="000000"/>
          <w:lang w:val="es-DO"/>
        </w:rPr>
        <w:t>, en atribución de las funciones que le otorgan la Ley No. 87-01 que crea el Sistema Dominicano de Seguridad Social</w:t>
      </w:r>
      <w:r w:rsidR="00506912">
        <w:rPr>
          <w:rFonts w:ascii="Arial" w:eastAsiaTheme="minorHAnsi" w:hAnsi="Arial" w:cs="Arial"/>
          <w:bCs/>
          <w:color w:val="000000"/>
          <w:lang w:val="es-DO"/>
        </w:rPr>
        <w:t xml:space="preserve"> (SDSS)</w:t>
      </w:r>
      <w:r>
        <w:rPr>
          <w:rFonts w:ascii="Arial" w:eastAsiaTheme="minorHAnsi" w:hAnsi="Arial" w:cs="Arial"/>
          <w:bCs/>
          <w:color w:val="000000"/>
          <w:lang w:val="es-DO"/>
        </w:rPr>
        <w:t xml:space="preserve"> y sus normas complementarias</w:t>
      </w:r>
      <w:r w:rsidR="00506912">
        <w:rPr>
          <w:rFonts w:ascii="Arial" w:eastAsiaTheme="minorHAnsi" w:hAnsi="Arial" w:cs="Arial"/>
          <w:bCs/>
          <w:color w:val="000000"/>
          <w:lang w:val="es-DO"/>
        </w:rPr>
        <w:t>.</w:t>
      </w:r>
    </w:p>
    <w:p w:rsidR="00F03E87" w:rsidRDefault="00F03E87" w:rsidP="00F03E87">
      <w:pPr>
        <w:pStyle w:val="Sinespaciad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hAnsi="Arial" w:cs="Arial"/>
          <w:b/>
          <w:bCs/>
        </w:rPr>
        <w:t>RESUELVE</w:t>
      </w:r>
      <w:r>
        <w:rPr>
          <w:rFonts w:ascii="Arial" w:hAnsi="Arial" w:cs="Arial"/>
          <w:bCs/>
        </w:rPr>
        <w:t>:</w:t>
      </w:r>
    </w:p>
    <w:p w:rsidR="00F03E87" w:rsidRDefault="00F03E87" w:rsidP="00F03E87">
      <w:pPr>
        <w:pStyle w:val="Sinespaciado"/>
        <w:jc w:val="both"/>
        <w:rPr>
          <w:rFonts w:ascii="Arial" w:hAnsi="Arial" w:cs="Arial"/>
          <w:b/>
          <w:lang w:val="es-419"/>
        </w:rPr>
      </w:pPr>
    </w:p>
    <w:p w:rsidR="00F03E87" w:rsidRDefault="00F03E87" w:rsidP="00F03E87">
      <w:pPr>
        <w:pStyle w:val="Sinespaciado"/>
        <w:jc w:val="both"/>
        <w:rPr>
          <w:rFonts w:ascii="Arial" w:hAnsi="Arial" w:cs="Arial"/>
          <w:lang w:val="es-419"/>
        </w:rPr>
      </w:pPr>
      <w:r>
        <w:rPr>
          <w:rFonts w:ascii="Arial" w:hAnsi="Arial" w:cs="Arial"/>
          <w:b/>
          <w:lang w:val="es-419"/>
        </w:rPr>
        <w:lastRenderedPageBreak/>
        <w:t>PRIMERO:</w:t>
      </w:r>
      <w:r>
        <w:rPr>
          <w:rFonts w:ascii="Arial" w:hAnsi="Arial" w:cs="Arial"/>
          <w:lang w:val="es-419"/>
        </w:rPr>
        <w:t xml:space="preserve"> </w:t>
      </w:r>
      <w:r w:rsidR="001731C4">
        <w:rPr>
          <w:rFonts w:ascii="Arial" w:hAnsi="Arial" w:cs="Arial"/>
          <w:lang w:val="es-DO"/>
        </w:rPr>
        <w:t>Se extiende por treinta</w:t>
      </w:r>
      <w:r w:rsidR="001731C4">
        <w:rPr>
          <w:rFonts w:ascii="Arial" w:hAnsi="Arial" w:cs="Arial"/>
          <w:lang w:val="es-419"/>
        </w:rPr>
        <w:t xml:space="preserve"> (</w:t>
      </w:r>
      <w:r w:rsidR="001731C4">
        <w:rPr>
          <w:rFonts w:ascii="Arial" w:hAnsi="Arial" w:cs="Arial"/>
          <w:lang w:val="es-DO"/>
        </w:rPr>
        <w:t>3</w:t>
      </w:r>
      <w:r w:rsidR="001731C4">
        <w:rPr>
          <w:rFonts w:ascii="Arial" w:hAnsi="Arial" w:cs="Arial"/>
          <w:lang w:val="es-419"/>
        </w:rPr>
        <w:t>0) días</w:t>
      </w:r>
      <w:r w:rsidR="00830DAA">
        <w:rPr>
          <w:rFonts w:ascii="Arial" w:hAnsi="Arial" w:cs="Arial"/>
          <w:lang w:val="es-DO"/>
        </w:rPr>
        <w:t xml:space="preserve"> adicionales </w:t>
      </w:r>
      <w:r w:rsidR="00A42A8F">
        <w:rPr>
          <w:rFonts w:ascii="Arial" w:hAnsi="Arial" w:cs="Arial"/>
          <w:lang w:val="es-DO"/>
        </w:rPr>
        <w:t>í</w:t>
      </w:r>
      <w:r w:rsidR="00830DAA">
        <w:rPr>
          <w:rFonts w:ascii="Arial" w:hAnsi="Arial" w:cs="Arial"/>
          <w:lang w:val="es-DO"/>
        </w:rPr>
        <w:t xml:space="preserve">ntegramente la </w:t>
      </w:r>
      <w:r w:rsidR="001731C4">
        <w:rPr>
          <w:rFonts w:ascii="Arial" w:hAnsi="Arial" w:cs="Arial"/>
          <w:lang w:val="es-DO"/>
        </w:rPr>
        <w:t>Resolución</w:t>
      </w:r>
      <w:r w:rsidR="00A42A8F">
        <w:rPr>
          <w:rFonts w:ascii="Arial" w:hAnsi="Arial" w:cs="Arial"/>
          <w:lang w:val="es-DO"/>
        </w:rPr>
        <w:t xml:space="preserve"> del CNSS</w:t>
      </w:r>
      <w:r w:rsidR="001731C4">
        <w:rPr>
          <w:rFonts w:ascii="Arial" w:hAnsi="Arial" w:cs="Arial"/>
          <w:lang w:val="es-DO"/>
        </w:rPr>
        <w:t xml:space="preserve"> No. 492</w:t>
      </w:r>
      <w:r w:rsidR="00D86179">
        <w:rPr>
          <w:rFonts w:ascii="Arial" w:hAnsi="Arial" w:cs="Arial"/>
          <w:lang w:val="es-DO"/>
        </w:rPr>
        <w:t>-01</w:t>
      </w:r>
      <w:r w:rsidR="006E3B1D">
        <w:rPr>
          <w:rFonts w:ascii="Arial" w:hAnsi="Arial" w:cs="Arial"/>
          <w:lang w:val="es-DO"/>
        </w:rPr>
        <w:t xml:space="preserve"> de</w:t>
      </w:r>
      <w:r w:rsidR="00A42A8F">
        <w:rPr>
          <w:rFonts w:ascii="Arial" w:hAnsi="Arial" w:cs="Arial"/>
          <w:lang w:val="es-DO"/>
        </w:rPr>
        <w:t>l</w:t>
      </w:r>
      <w:r w:rsidR="006E3B1D">
        <w:rPr>
          <w:rFonts w:ascii="Arial" w:hAnsi="Arial" w:cs="Arial"/>
          <w:lang w:val="es-DO"/>
        </w:rPr>
        <w:t xml:space="preserve"> Seguro Familiar de Salud (SFS).</w:t>
      </w:r>
      <w:r w:rsidR="001731C4">
        <w:rPr>
          <w:rFonts w:ascii="Arial" w:hAnsi="Arial" w:cs="Arial"/>
          <w:lang w:val="es-DO"/>
        </w:rPr>
        <w:t xml:space="preserve"> </w:t>
      </w:r>
    </w:p>
    <w:p w:rsidR="00F03E87" w:rsidRDefault="00F03E87" w:rsidP="00F03E87">
      <w:pPr>
        <w:pStyle w:val="Sinespaciado"/>
        <w:jc w:val="both"/>
        <w:rPr>
          <w:rFonts w:ascii="Arial" w:hAnsi="Arial" w:cs="Arial"/>
          <w:lang w:val="es-419"/>
        </w:rPr>
      </w:pPr>
    </w:p>
    <w:p w:rsidR="00830DAA" w:rsidRPr="00EF042E" w:rsidRDefault="008D78BA" w:rsidP="00F03E87">
      <w:pPr>
        <w:pStyle w:val="Sinespaciad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SEGUND</w:t>
      </w:r>
      <w:r w:rsidR="00F03E87">
        <w:rPr>
          <w:rFonts w:ascii="Arial" w:hAnsi="Arial" w:cs="Arial"/>
          <w:b/>
          <w:bCs/>
        </w:rPr>
        <w:t xml:space="preserve">O: </w:t>
      </w:r>
      <w:r w:rsidR="00830DAA" w:rsidRPr="00EF042E">
        <w:rPr>
          <w:rFonts w:ascii="Arial" w:hAnsi="Arial" w:cs="Arial"/>
          <w:bCs/>
        </w:rPr>
        <w:t xml:space="preserve">Se </w:t>
      </w:r>
      <w:r w:rsidR="00B276EA" w:rsidRPr="00EF042E">
        <w:rPr>
          <w:rFonts w:ascii="Arial" w:hAnsi="Arial" w:cs="Arial"/>
          <w:bCs/>
        </w:rPr>
        <w:t xml:space="preserve">le </w:t>
      </w:r>
      <w:r w:rsidR="00830DAA" w:rsidRPr="00EF042E">
        <w:rPr>
          <w:rFonts w:ascii="Arial" w:hAnsi="Arial" w:cs="Arial"/>
          <w:bCs/>
        </w:rPr>
        <w:t xml:space="preserve">solicita </w:t>
      </w:r>
      <w:r w:rsidR="00A42A8F">
        <w:rPr>
          <w:rFonts w:ascii="Arial" w:hAnsi="Arial" w:cs="Arial"/>
          <w:bCs/>
        </w:rPr>
        <w:t xml:space="preserve">a </w:t>
      </w:r>
      <w:r w:rsidR="00830DAA" w:rsidRPr="00EF042E">
        <w:rPr>
          <w:rFonts w:ascii="Arial" w:hAnsi="Arial" w:cs="Arial"/>
          <w:bCs/>
        </w:rPr>
        <w:t xml:space="preserve">la Tesorería de la Seguridad Social </w:t>
      </w:r>
      <w:r w:rsidR="00B276EA" w:rsidRPr="00EF042E">
        <w:rPr>
          <w:rFonts w:ascii="Arial" w:hAnsi="Arial" w:cs="Arial"/>
          <w:bCs/>
        </w:rPr>
        <w:t xml:space="preserve">(TSS) </w:t>
      </w:r>
      <w:r w:rsidR="00830DAA" w:rsidRPr="00EF042E">
        <w:rPr>
          <w:rFonts w:ascii="Arial" w:hAnsi="Arial" w:cs="Arial"/>
          <w:bCs/>
        </w:rPr>
        <w:t xml:space="preserve">presentar un informe financiero sobre </w:t>
      </w:r>
      <w:r w:rsidR="00A42A8F">
        <w:rPr>
          <w:rFonts w:ascii="Arial" w:hAnsi="Arial" w:cs="Arial"/>
          <w:bCs/>
        </w:rPr>
        <w:t xml:space="preserve">el </w:t>
      </w:r>
      <w:r w:rsidR="00830DAA" w:rsidRPr="00EF042E">
        <w:rPr>
          <w:rFonts w:ascii="Arial" w:hAnsi="Arial" w:cs="Arial"/>
          <w:bCs/>
        </w:rPr>
        <w:t>estado de cuenta del cuidado de la salud.</w:t>
      </w:r>
    </w:p>
    <w:p w:rsidR="00830DAA" w:rsidRDefault="00830DAA" w:rsidP="00F03E87">
      <w:pPr>
        <w:pStyle w:val="Sinespaciado"/>
        <w:jc w:val="both"/>
        <w:rPr>
          <w:rFonts w:ascii="Arial" w:hAnsi="Arial" w:cs="Arial"/>
          <w:b/>
          <w:bCs/>
        </w:rPr>
      </w:pPr>
    </w:p>
    <w:p w:rsidR="00F03E87" w:rsidRDefault="00A42A8F" w:rsidP="00F03E87">
      <w:pPr>
        <w:pStyle w:val="Sinespaciado"/>
        <w:jc w:val="both"/>
        <w:rPr>
          <w:rFonts w:ascii="Arial" w:hAnsi="Arial" w:cs="Arial"/>
          <w:bCs/>
        </w:rPr>
      </w:pPr>
      <w:r w:rsidRPr="00EF042E">
        <w:rPr>
          <w:rFonts w:ascii="Arial" w:hAnsi="Arial" w:cs="Arial"/>
          <w:b/>
          <w:bCs/>
        </w:rPr>
        <w:t>TERCERO:</w:t>
      </w:r>
      <w:r w:rsidR="00830DAA">
        <w:rPr>
          <w:rFonts w:ascii="Arial" w:hAnsi="Arial" w:cs="Arial"/>
          <w:bCs/>
        </w:rPr>
        <w:t xml:space="preserve"> </w:t>
      </w:r>
      <w:r w:rsidR="00F03E87">
        <w:rPr>
          <w:rFonts w:ascii="Arial" w:hAnsi="Arial" w:cs="Arial"/>
          <w:bCs/>
        </w:rPr>
        <w:t>Se instruye a la Gerencia General del CNSS notificar la presente resolución a todas las entidades relacionadas para los fines correspondientes; así como, a publicarla en un periódico de circulación nacional.</w:t>
      </w:r>
    </w:p>
    <w:p w:rsidR="00F03E87" w:rsidRDefault="00F03E87" w:rsidP="00F03E87">
      <w:pPr>
        <w:pStyle w:val="Sinespaciado"/>
        <w:jc w:val="both"/>
        <w:rPr>
          <w:rFonts w:ascii="Arial" w:hAnsi="Arial" w:cs="Arial"/>
          <w:b/>
          <w:bCs/>
        </w:rPr>
      </w:pPr>
    </w:p>
    <w:p w:rsidR="003B7D6F" w:rsidRPr="00C17E89" w:rsidRDefault="003B7D6F" w:rsidP="003B7D6F">
      <w:pPr>
        <w:spacing w:after="0" w:line="240" w:lineRule="auto"/>
        <w:jc w:val="both"/>
        <w:rPr>
          <w:rFonts w:ascii="Arial" w:eastAsia="Times New Roman" w:hAnsi="Arial" w:cs="Arial"/>
          <w:lang w:val="es-DO" w:eastAsia="es-ES"/>
        </w:rPr>
      </w:pPr>
      <w:r w:rsidRPr="00C17E89">
        <w:rPr>
          <w:rFonts w:ascii="Arial" w:eastAsia="Times New Roman" w:hAnsi="Arial" w:cs="Arial"/>
          <w:lang w:val="es-MX" w:eastAsia="es-ES"/>
        </w:rPr>
        <w:t xml:space="preserve">Sin otro particular por el momento, aprovechamos para saludarles con sentimientos de alta consideración y estima, </w:t>
      </w:r>
    </w:p>
    <w:p w:rsidR="003B7D6F" w:rsidRPr="005969AF" w:rsidRDefault="003B7D6F" w:rsidP="003B7D6F">
      <w:pPr>
        <w:spacing w:after="0" w:line="240" w:lineRule="auto"/>
        <w:jc w:val="both"/>
        <w:rPr>
          <w:rFonts w:ascii="Arial" w:eastAsia="Times New Roman" w:hAnsi="Arial" w:cs="Arial"/>
          <w:sz w:val="20"/>
          <w:lang w:val="es-DO" w:eastAsia="es-ES"/>
        </w:rPr>
      </w:pPr>
    </w:p>
    <w:p w:rsidR="003B7D6F" w:rsidRPr="00C17E89" w:rsidRDefault="003B7D6F" w:rsidP="003B7D6F">
      <w:pPr>
        <w:spacing w:after="0" w:line="240" w:lineRule="auto"/>
        <w:rPr>
          <w:rFonts w:ascii="Arial" w:eastAsia="Times New Roman" w:hAnsi="Arial" w:cs="Arial"/>
          <w:lang w:val="es-DO" w:eastAsia="es-ES"/>
        </w:rPr>
      </w:pPr>
      <w:r w:rsidRPr="00C17E89">
        <w:rPr>
          <w:rFonts w:ascii="Arial" w:eastAsia="Times New Roman" w:hAnsi="Arial" w:cs="Arial"/>
          <w:lang w:val="es-DO" w:eastAsia="es-ES"/>
        </w:rPr>
        <w:t xml:space="preserve">Muy Atentamente, </w:t>
      </w:r>
    </w:p>
    <w:p w:rsidR="003B7D6F" w:rsidRPr="005969AF" w:rsidRDefault="003B7D6F" w:rsidP="003B7D6F">
      <w:pPr>
        <w:spacing w:after="0" w:line="240" w:lineRule="auto"/>
        <w:rPr>
          <w:rFonts w:ascii="Arial" w:eastAsia="Times New Roman" w:hAnsi="Arial" w:cs="Arial"/>
          <w:b/>
          <w:sz w:val="2"/>
          <w:lang w:val="es-ES" w:eastAsia="es-ES"/>
        </w:rPr>
      </w:pPr>
    </w:p>
    <w:p w:rsidR="003B7D6F" w:rsidRPr="005969AF" w:rsidRDefault="003B7D6F" w:rsidP="003B7D6F">
      <w:pPr>
        <w:spacing w:after="0" w:line="240" w:lineRule="auto"/>
        <w:rPr>
          <w:rFonts w:ascii="Arial" w:eastAsia="Times New Roman" w:hAnsi="Arial" w:cs="Arial"/>
          <w:b/>
          <w:sz w:val="28"/>
          <w:lang w:val="es-ES" w:eastAsia="es-ES"/>
        </w:rPr>
      </w:pPr>
    </w:p>
    <w:p w:rsidR="003B7D6F" w:rsidRDefault="003B7D6F" w:rsidP="003B7D6F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3B7D6F" w:rsidRDefault="003B7D6F" w:rsidP="003B7D6F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3B7D6F" w:rsidRPr="00C17E89" w:rsidRDefault="003B7D6F" w:rsidP="003B7D6F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C17E89">
        <w:rPr>
          <w:rFonts w:ascii="Arial" w:eastAsia="Times New Roman" w:hAnsi="Arial" w:cs="Arial"/>
          <w:b/>
          <w:lang w:val="es-ES" w:eastAsia="es-ES"/>
        </w:rPr>
        <w:t>Lic. Rafael Pérez Modesto</w:t>
      </w:r>
    </w:p>
    <w:p w:rsidR="003B7D6F" w:rsidRPr="00C17E89" w:rsidRDefault="003B7D6F" w:rsidP="003B7D6F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C17E89">
        <w:rPr>
          <w:rFonts w:ascii="Arial" w:eastAsia="Times New Roman" w:hAnsi="Arial" w:cs="Arial"/>
          <w:lang w:val="es-ES" w:eastAsia="es-ES"/>
        </w:rPr>
        <w:t xml:space="preserve">Gerente General </w:t>
      </w:r>
    </w:p>
    <w:p w:rsidR="003B7D6F" w:rsidRPr="005969AF" w:rsidRDefault="003B7D6F" w:rsidP="003B7D6F">
      <w:pPr>
        <w:spacing w:after="0" w:line="240" w:lineRule="auto"/>
        <w:jc w:val="both"/>
        <w:rPr>
          <w:rFonts w:ascii="Arial" w:eastAsia="Times New Roman" w:hAnsi="Arial" w:cs="Times New Roman"/>
          <w:sz w:val="18"/>
          <w:lang w:val="es-MX" w:eastAsia="es-ES"/>
        </w:rPr>
      </w:pPr>
    </w:p>
    <w:p w:rsidR="003B7D6F" w:rsidRPr="006E64A9" w:rsidRDefault="003B7D6F" w:rsidP="003B7D6F">
      <w:pPr>
        <w:spacing w:after="0" w:line="240" w:lineRule="auto"/>
        <w:jc w:val="both"/>
        <w:rPr>
          <w:lang w:val="es-DO"/>
        </w:rPr>
      </w:pPr>
      <w:r w:rsidRPr="00C17E89">
        <w:rPr>
          <w:rFonts w:ascii="Arial" w:eastAsia="Times New Roman" w:hAnsi="Arial" w:cs="Times New Roman"/>
          <w:sz w:val="16"/>
          <w:szCs w:val="16"/>
          <w:lang w:val="es-MX" w:eastAsia="es-ES"/>
        </w:rPr>
        <w:t>RPM/</w:t>
      </w:r>
      <w:r>
        <w:rPr>
          <w:rFonts w:ascii="Arial" w:eastAsia="Times New Roman" w:hAnsi="Arial" w:cs="Times New Roman"/>
          <w:sz w:val="16"/>
          <w:szCs w:val="16"/>
          <w:lang w:val="es-MX" w:eastAsia="es-ES"/>
        </w:rPr>
        <w:t>mc</w:t>
      </w:r>
    </w:p>
    <w:p w:rsidR="007E2D9B" w:rsidRPr="00E90FBA" w:rsidRDefault="007E2D9B" w:rsidP="007E2D9B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6E64A9" w:rsidRPr="006E64A9" w:rsidRDefault="006E64A9" w:rsidP="00631625">
      <w:pPr>
        <w:spacing w:after="0" w:line="240" w:lineRule="auto"/>
        <w:jc w:val="both"/>
        <w:rPr>
          <w:lang w:val="es-DO"/>
        </w:rPr>
      </w:pPr>
    </w:p>
    <w:sectPr w:rsidR="006E64A9" w:rsidRPr="006E64A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876" w:rsidRDefault="00B77876" w:rsidP="00E15E57">
      <w:pPr>
        <w:spacing w:after="0" w:line="240" w:lineRule="auto"/>
      </w:pPr>
      <w:r>
        <w:separator/>
      </w:r>
    </w:p>
  </w:endnote>
  <w:endnote w:type="continuationSeparator" w:id="0">
    <w:p w:rsidR="00B77876" w:rsidRDefault="00B77876" w:rsidP="00E1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3915377"/>
      <w:docPartObj>
        <w:docPartGallery w:val="Page Numbers (Bottom of Page)"/>
        <w:docPartUnique/>
      </w:docPartObj>
    </w:sdtPr>
    <w:sdtEndPr/>
    <w:sdtContent>
      <w:p w:rsidR="00E15E57" w:rsidRDefault="00E15E5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B83" w:rsidRPr="00BF3B83">
          <w:rPr>
            <w:noProof/>
            <w:lang w:val="es-ES"/>
          </w:rPr>
          <w:t>2</w:t>
        </w:r>
        <w:r>
          <w:fldChar w:fldCharType="end"/>
        </w:r>
      </w:p>
    </w:sdtContent>
  </w:sdt>
  <w:p w:rsidR="00E15E57" w:rsidRDefault="00E15E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876" w:rsidRDefault="00B77876" w:rsidP="00E15E57">
      <w:pPr>
        <w:spacing w:after="0" w:line="240" w:lineRule="auto"/>
      </w:pPr>
      <w:r>
        <w:separator/>
      </w:r>
    </w:p>
  </w:footnote>
  <w:footnote w:type="continuationSeparator" w:id="0">
    <w:p w:rsidR="00B77876" w:rsidRDefault="00B77876" w:rsidP="00E15E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01"/>
    <w:rsid w:val="000017FC"/>
    <w:rsid w:val="00057838"/>
    <w:rsid w:val="00065C11"/>
    <w:rsid w:val="00111A56"/>
    <w:rsid w:val="001516B7"/>
    <w:rsid w:val="00163AF6"/>
    <w:rsid w:val="00165EA2"/>
    <w:rsid w:val="001731C4"/>
    <w:rsid w:val="00185991"/>
    <w:rsid w:val="00193158"/>
    <w:rsid w:val="001A466A"/>
    <w:rsid w:val="001F6798"/>
    <w:rsid w:val="002147A7"/>
    <w:rsid w:val="00225EEA"/>
    <w:rsid w:val="0028523A"/>
    <w:rsid w:val="002F7D58"/>
    <w:rsid w:val="00317459"/>
    <w:rsid w:val="00352BE3"/>
    <w:rsid w:val="00356457"/>
    <w:rsid w:val="00363DAF"/>
    <w:rsid w:val="00387AA9"/>
    <w:rsid w:val="003A5003"/>
    <w:rsid w:val="003B7D6F"/>
    <w:rsid w:val="003C52F1"/>
    <w:rsid w:val="003E4568"/>
    <w:rsid w:val="0042534D"/>
    <w:rsid w:val="004324D1"/>
    <w:rsid w:val="00461017"/>
    <w:rsid w:val="004613D3"/>
    <w:rsid w:val="00461CB0"/>
    <w:rsid w:val="00467644"/>
    <w:rsid w:val="004774AD"/>
    <w:rsid w:val="00483AA7"/>
    <w:rsid w:val="004849BD"/>
    <w:rsid w:val="004D7B36"/>
    <w:rsid w:val="0050215D"/>
    <w:rsid w:val="005027D3"/>
    <w:rsid w:val="00506912"/>
    <w:rsid w:val="005258C6"/>
    <w:rsid w:val="00557C08"/>
    <w:rsid w:val="00560B62"/>
    <w:rsid w:val="005969AF"/>
    <w:rsid w:val="005E2AE7"/>
    <w:rsid w:val="00605ADF"/>
    <w:rsid w:val="0061451B"/>
    <w:rsid w:val="00631625"/>
    <w:rsid w:val="0067153B"/>
    <w:rsid w:val="00672B5D"/>
    <w:rsid w:val="006B1834"/>
    <w:rsid w:val="006E3B1D"/>
    <w:rsid w:val="006E64A9"/>
    <w:rsid w:val="006E6507"/>
    <w:rsid w:val="00711316"/>
    <w:rsid w:val="00726608"/>
    <w:rsid w:val="007366F6"/>
    <w:rsid w:val="007A03A8"/>
    <w:rsid w:val="007A5B80"/>
    <w:rsid w:val="007B723D"/>
    <w:rsid w:val="007E2D9B"/>
    <w:rsid w:val="00811A67"/>
    <w:rsid w:val="008263C7"/>
    <w:rsid w:val="00826BF2"/>
    <w:rsid w:val="00830DAA"/>
    <w:rsid w:val="00842C93"/>
    <w:rsid w:val="00855191"/>
    <w:rsid w:val="00861DE2"/>
    <w:rsid w:val="00887912"/>
    <w:rsid w:val="008C2FF4"/>
    <w:rsid w:val="008D78BA"/>
    <w:rsid w:val="008E6E0C"/>
    <w:rsid w:val="008F52FD"/>
    <w:rsid w:val="00901340"/>
    <w:rsid w:val="009153F7"/>
    <w:rsid w:val="00962F96"/>
    <w:rsid w:val="00991A4A"/>
    <w:rsid w:val="009A65F1"/>
    <w:rsid w:val="009D1E06"/>
    <w:rsid w:val="009F2ED5"/>
    <w:rsid w:val="009F4E4F"/>
    <w:rsid w:val="00A02230"/>
    <w:rsid w:val="00A1109F"/>
    <w:rsid w:val="00A2683D"/>
    <w:rsid w:val="00A41B71"/>
    <w:rsid w:val="00A42A8F"/>
    <w:rsid w:val="00A66801"/>
    <w:rsid w:val="00A83277"/>
    <w:rsid w:val="00A9424A"/>
    <w:rsid w:val="00AA0C52"/>
    <w:rsid w:val="00AE2828"/>
    <w:rsid w:val="00B00104"/>
    <w:rsid w:val="00B17E33"/>
    <w:rsid w:val="00B276EA"/>
    <w:rsid w:val="00B77876"/>
    <w:rsid w:val="00BA417E"/>
    <w:rsid w:val="00BD5163"/>
    <w:rsid w:val="00BF3B83"/>
    <w:rsid w:val="00C05D0A"/>
    <w:rsid w:val="00C1398F"/>
    <w:rsid w:val="00C17E89"/>
    <w:rsid w:val="00C30ABB"/>
    <w:rsid w:val="00C344AC"/>
    <w:rsid w:val="00C56D09"/>
    <w:rsid w:val="00C80695"/>
    <w:rsid w:val="00C926B8"/>
    <w:rsid w:val="00CB4037"/>
    <w:rsid w:val="00CB4CBE"/>
    <w:rsid w:val="00CF204A"/>
    <w:rsid w:val="00D323B8"/>
    <w:rsid w:val="00D655DB"/>
    <w:rsid w:val="00D83032"/>
    <w:rsid w:val="00D86179"/>
    <w:rsid w:val="00D95D1F"/>
    <w:rsid w:val="00D97957"/>
    <w:rsid w:val="00DA44CD"/>
    <w:rsid w:val="00DF6C31"/>
    <w:rsid w:val="00E00490"/>
    <w:rsid w:val="00E01A6B"/>
    <w:rsid w:val="00E042C6"/>
    <w:rsid w:val="00E0663E"/>
    <w:rsid w:val="00E15E57"/>
    <w:rsid w:val="00E25401"/>
    <w:rsid w:val="00E51665"/>
    <w:rsid w:val="00E60802"/>
    <w:rsid w:val="00E90FBA"/>
    <w:rsid w:val="00EA0A0C"/>
    <w:rsid w:val="00EA77A2"/>
    <w:rsid w:val="00EB5FA4"/>
    <w:rsid w:val="00EE38B6"/>
    <w:rsid w:val="00EF042E"/>
    <w:rsid w:val="00F03E87"/>
    <w:rsid w:val="00F646ED"/>
    <w:rsid w:val="00F65A14"/>
    <w:rsid w:val="00F73E68"/>
    <w:rsid w:val="00F908E6"/>
    <w:rsid w:val="00FA5C6C"/>
    <w:rsid w:val="00FB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06945-EB37-4FEC-9E0B-F122597D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4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451B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461CB0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61CB0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672B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DO"/>
    </w:rPr>
  </w:style>
  <w:style w:type="table" w:styleId="Tablaconcuadrcula">
    <w:name w:val="Table Grid"/>
    <w:basedOn w:val="Tablanormal"/>
    <w:rsid w:val="00672B5D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08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08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08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08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08E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908E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26BF2"/>
    <w:pPr>
      <w:spacing w:after="200" w:line="276" w:lineRule="auto"/>
      <w:ind w:left="720"/>
      <w:contextualSpacing/>
    </w:pPr>
    <w:rPr>
      <w:lang w:val="es-DO"/>
    </w:rPr>
  </w:style>
  <w:style w:type="character" w:styleId="Nmerodelnea">
    <w:name w:val="line number"/>
    <w:basedOn w:val="Fuentedeprrafopredeter"/>
    <w:uiPriority w:val="99"/>
    <w:semiHidden/>
    <w:unhideWhenUsed/>
    <w:rsid w:val="00E15E57"/>
  </w:style>
  <w:style w:type="paragraph" w:styleId="Encabezado">
    <w:name w:val="header"/>
    <w:basedOn w:val="Normal"/>
    <w:link w:val="EncabezadoCar"/>
    <w:uiPriority w:val="99"/>
    <w:unhideWhenUsed/>
    <w:rsid w:val="00E15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E57"/>
  </w:style>
  <w:style w:type="paragraph" w:styleId="Piedepgina">
    <w:name w:val="footer"/>
    <w:basedOn w:val="Normal"/>
    <w:link w:val="PiedepginaCar"/>
    <w:uiPriority w:val="99"/>
    <w:unhideWhenUsed/>
    <w:rsid w:val="00E15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7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0E63D-C2EE-4BAE-8311-350BD60F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Mota</dc:creator>
  <cp:keywords/>
  <dc:description/>
  <cp:lastModifiedBy>Miosotis Cabral</cp:lastModifiedBy>
  <cp:revision>2</cp:revision>
  <cp:lastPrinted>2020-06-01T14:59:00Z</cp:lastPrinted>
  <dcterms:created xsi:type="dcterms:W3CDTF">2020-06-01T15:29:00Z</dcterms:created>
  <dcterms:modified xsi:type="dcterms:W3CDTF">2020-06-01T15:29:00Z</dcterms:modified>
</cp:coreProperties>
</file>