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177C" w14:textId="77777777" w:rsidR="00BE7379" w:rsidRPr="00EA2236" w:rsidRDefault="00BE7379" w:rsidP="00CE1119">
      <w:pPr>
        <w:pStyle w:val="Sinespaciado"/>
        <w:ind w:left="720" w:hanging="720"/>
        <w:jc w:val="center"/>
        <w:rPr>
          <w:rFonts w:ascii="Arial" w:hAnsi="Arial" w:cs="Arial"/>
          <w:b/>
          <w:lang w:val="es-DO"/>
        </w:rPr>
      </w:pPr>
    </w:p>
    <w:p w14:paraId="79D8ABA2" w14:textId="77777777" w:rsidR="00CE43FB" w:rsidRPr="00C521CA" w:rsidRDefault="00D755E0" w:rsidP="00C521CA">
      <w:pPr>
        <w:ind w:left="-340"/>
        <w:jc w:val="both"/>
        <w:rPr>
          <w:rFonts w:ascii="Arial" w:eastAsia="Calibri" w:hAnsi="Arial" w:cs="Arial"/>
          <w:sz w:val="22"/>
          <w:szCs w:val="22"/>
          <w:lang w:val="es-DO"/>
        </w:rPr>
      </w:pPr>
      <w:r w:rsidRPr="008F3510">
        <w:rPr>
          <w:rFonts w:ascii="Arial" w:hAnsi="Arial" w:cs="Arial"/>
          <w:b/>
          <w:sz w:val="22"/>
          <w:szCs w:val="22"/>
          <w:u w:val="single"/>
          <w:lang w:val="es-DO"/>
        </w:rPr>
        <w:t>Resolución No. 603-04</w:t>
      </w:r>
      <w:r w:rsidRPr="008F3510">
        <w:rPr>
          <w:rFonts w:ascii="Arial" w:hAnsi="Arial" w:cs="Arial"/>
          <w:b/>
          <w:sz w:val="22"/>
          <w:szCs w:val="22"/>
          <w:lang w:val="es-DO"/>
        </w:rPr>
        <w:t>:</w:t>
      </w:r>
      <w:r w:rsidRPr="008F3510">
        <w:rPr>
          <w:rFonts w:ascii="Arial" w:hAnsi="Arial" w:cs="Arial"/>
          <w:sz w:val="22"/>
          <w:szCs w:val="22"/>
          <w:lang w:val="es-DO"/>
        </w:rPr>
        <w:t xml:space="preserve"> </w:t>
      </w:r>
      <w:r w:rsidR="00CE43FB" w:rsidRPr="00C521CA">
        <w:rPr>
          <w:rFonts w:ascii="Arial" w:eastAsia="Calibri" w:hAnsi="Arial" w:cs="Arial"/>
          <w:b/>
          <w:sz w:val="22"/>
          <w:szCs w:val="22"/>
          <w:lang w:val="es-DO"/>
        </w:rPr>
        <w:t>CONSIDERANDO 1</w:t>
      </w:r>
      <w:r w:rsidR="00CE43FB" w:rsidRPr="00C521CA">
        <w:rPr>
          <w:rFonts w:ascii="Arial" w:eastAsia="Calibri" w:hAnsi="Arial" w:cs="Arial"/>
          <w:sz w:val="22"/>
          <w:szCs w:val="22"/>
          <w:lang w:val="es-DO"/>
        </w:rPr>
        <w:t xml:space="preserve">: Que el </w:t>
      </w:r>
      <w:r w:rsidR="00CE43FB" w:rsidRPr="00C521CA">
        <w:rPr>
          <w:rFonts w:ascii="Arial" w:eastAsia="Calibri" w:hAnsi="Arial" w:cs="Arial"/>
          <w:b/>
          <w:sz w:val="22"/>
          <w:szCs w:val="22"/>
          <w:lang w:val="es-DO"/>
        </w:rPr>
        <w:t>Consejo Nacional de Seguridad Social (CNSS)</w:t>
      </w:r>
      <w:r w:rsidR="00CE43FB" w:rsidRPr="00C521CA">
        <w:rPr>
          <w:rFonts w:ascii="Arial" w:eastAsia="Calibri" w:hAnsi="Arial" w:cs="Arial"/>
          <w:sz w:val="22"/>
          <w:szCs w:val="22"/>
          <w:lang w:val="es-DO"/>
        </w:rPr>
        <w:t xml:space="preserve"> emitió la</w:t>
      </w:r>
      <w:r w:rsidR="00CE43FB" w:rsidRPr="00C521CA">
        <w:rPr>
          <w:rFonts w:ascii="Arial" w:hAnsi="Arial" w:cs="Arial"/>
          <w:b/>
          <w:spacing w:val="4"/>
          <w:sz w:val="22"/>
          <w:szCs w:val="22"/>
          <w:lang w:val="es-DO" w:bidi="ne-IN"/>
        </w:rPr>
        <w:t xml:space="preserve"> </w:t>
      </w:r>
      <w:r w:rsidR="00CE43FB" w:rsidRPr="00C521CA">
        <w:rPr>
          <w:rFonts w:ascii="Arial" w:eastAsia="Calibri" w:hAnsi="Arial" w:cs="Arial"/>
          <w:b/>
          <w:sz w:val="22"/>
          <w:szCs w:val="22"/>
          <w:lang w:val="es-DO"/>
        </w:rPr>
        <w:t xml:space="preserve">Resolución No. 594-04, d/f 11/7/2024 </w:t>
      </w:r>
      <w:r w:rsidR="00CE43FB" w:rsidRPr="00C521CA">
        <w:rPr>
          <w:rFonts w:ascii="Arial" w:eastAsia="Calibri" w:hAnsi="Arial" w:cs="Arial"/>
          <w:sz w:val="22"/>
          <w:szCs w:val="22"/>
          <w:lang w:val="es-DO"/>
        </w:rPr>
        <w:t>en la cual</w:t>
      </w:r>
      <w:r w:rsidR="00CE43FB" w:rsidRPr="00C521CA">
        <w:rPr>
          <w:rFonts w:ascii="Arial" w:eastAsia="Calibri" w:hAnsi="Arial" w:cs="Arial"/>
          <w:b/>
          <w:sz w:val="22"/>
          <w:szCs w:val="22"/>
          <w:lang w:val="es-DO"/>
        </w:rPr>
        <w:t xml:space="preserve"> </w:t>
      </w:r>
      <w:r w:rsidR="00CE43FB" w:rsidRPr="00C521CA">
        <w:rPr>
          <w:rFonts w:ascii="Arial" w:eastAsia="Calibri" w:hAnsi="Arial" w:cs="Arial"/>
          <w:sz w:val="22"/>
          <w:szCs w:val="22"/>
          <w:lang w:val="es-DO"/>
        </w:rPr>
        <w:t xml:space="preserve">se remite de manera conjunta a las </w:t>
      </w:r>
      <w:r w:rsidR="00CE43FB" w:rsidRPr="00C521CA">
        <w:rPr>
          <w:rFonts w:ascii="Arial" w:eastAsia="Calibri" w:hAnsi="Arial" w:cs="Arial"/>
          <w:b/>
          <w:sz w:val="22"/>
          <w:szCs w:val="22"/>
          <w:lang w:val="es-DO"/>
        </w:rPr>
        <w:t>Comisiones Permanentes de Riesgos Laborales (CPRL) y de Reglamentos (CPR),</w:t>
      </w:r>
      <w:r w:rsidR="00CE43FB" w:rsidRPr="00C521CA">
        <w:rPr>
          <w:rFonts w:ascii="Arial" w:eastAsia="Calibri" w:hAnsi="Arial" w:cs="Arial"/>
          <w:sz w:val="22"/>
          <w:szCs w:val="22"/>
          <w:lang w:val="es-DO"/>
        </w:rPr>
        <w:t xml:space="preserve"> </w:t>
      </w:r>
      <w:r w:rsidR="00CE43FB" w:rsidRPr="00C521CA">
        <w:rPr>
          <w:rFonts w:ascii="Arial" w:eastAsia="Calibri" w:hAnsi="Arial" w:cs="Arial"/>
          <w:i/>
          <w:sz w:val="22"/>
          <w:szCs w:val="22"/>
          <w:lang w:val="es-DO"/>
        </w:rPr>
        <w:t xml:space="preserve">“la propuesta presentada por la SISALRIL que define el ámbito de actuación de la Comisión Técnica de la Discapacidad para el Seguro de Riesgos Laborales (CTD-SRL); y la regulación de otros aspectos generales; para fines de revisión y análisis”, </w:t>
      </w:r>
      <w:r w:rsidR="00CE43FB" w:rsidRPr="00C521CA">
        <w:rPr>
          <w:rFonts w:ascii="Arial" w:eastAsia="Calibri" w:hAnsi="Arial" w:cs="Arial"/>
          <w:sz w:val="22"/>
          <w:szCs w:val="22"/>
          <w:lang w:val="es-DO"/>
        </w:rPr>
        <w:t>debiendo presentar un informe al CNSS.</w:t>
      </w:r>
    </w:p>
    <w:p w14:paraId="083D62E9" w14:textId="77777777" w:rsidR="00CE43FB" w:rsidRPr="00C521CA" w:rsidRDefault="00CE43FB" w:rsidP="00C521CA">
      <w:pPr>
        <w:ind w:left="-340"/>
        <w:jc w:val="both"/>
        <w:rPr>
          <w:rFonts w:ascii="Arial" w:hAnsi="Arial" w:cs="Arial"/>
          <w:b/>
          <w:spacing w:val="4"/>
          <w:sz w:val="22"/>
          <w:szCs w:val="22"/>
          <w:lang w:val="es-DO" w:bidi="ne-IN"/>
        </w:rPr>
      </w:pPr>
    </w:p>
    <w:p w14:paraId="36083E44" w14:textId="77777777" w:rsidR="00CE43FB" w:rsidRPr="00C521CA" w:rsidRDefault="00CE43FB" w:rsidP="00C521CA">
      <w:pPr>
        <w:ind w:left="-340"/>
        <w:jc w:val="both"/>
        <w:rPr>
          <w:rFonts w:ascii="Arial" w:eastAsia="Calibri" w:hAnsi="Arial" w:cs="Arial"/>
          <w:sz w:val="22"/>
          <w:szCs w:val="22"/>
          <w:lang w:val="es-DO"/>
        </w:rPr>
      </w:pPr>
      <w:r w:rsidRPr="00C521CA">
        <w:rPr>
          <w:rFonts w:ascii="Arial" w:eastAsia="Calibri" w:hAnsi="Arial" w:cs="Arial"/>
          <w:b/>
          <w:bCs/>
          <w:color w:val="000000"/>
          <w:sz w:val="22"/>
          <w:szCs w:val="22"/>
        </w:rPr>
        <w:t xml:space="preserve">CONSIDERANDO 2: </w:t>
      </w:r>
      <w:r w:rsidRPr="00C521CA">
        <w:rPr>
          <w:rFonts w:ascii="Arial" w:eastAsia="Calibri" w:hAnsi="Arial" w:cs="Arial"/>
          <w:bCs/>
          <w:color w:val="000000"/>
          <w:sz w:val="22"/>
          <w:szCs w:val="22"/>
        </w:rPr>
        <w:t xml:space="preserve">Que los miembros de </w:t>
      </w:r>
      <w:r w:rsidRPr="00C521CA">
        <w:rPr>
          <w:rFonts w:ascii="Arial" w:eastAsia="Calibri" w:hAnsi="Arial" w:cs="Arial"/>
          <w:sz w:val="22"/>
          <w:szCs w:val="22"/>
          <w:lang w:val="es-DO"/>
        </w:rPr>
        <w:t xml:space="preserve">las </w:t>
      </w:r>
      <w:r w:rsidRPr="00C521CA">
        <w:rPr>
          <w:rFonts w:ascii="Arial" w:eastAsia="Calibri" w:hAnsi="Arial" w:cs="Arial"/>
          <w:b/>
          <w:sz w:val="22"/>
          <w:szCs w:val="22"/>
          <w:lang w:val="es-DO"/>
        </w:rPr>
        <w:t>Comisiones Permanentes de Riesgos Laborales (CPRL) y de Reglamentos (CPR),</w:t>
      </w:r>
      <w:r w:rsidRPr="00C521CA">
        <w:rPr>
          <w:rFonts w:ascii="Arial" w:eastAsia="Calibri" w:hAnsi="Arial" w:cs="Arial"/>
          <w:sz w:val="22"/>
          <w:szCs w:val="22"/>
          <w:lang w:val="es-DO"/>
        </w:rPr>
        <w:t xml:space="preserve"> </w:t>
      </w:r>
      <w:r w:rsidRPr="00C521CA">
        <w:rPr>
          <w:rFonts w:ascii="Arial" w:eastAsia="Calibri" w:hAnsi="Arial" w:cs="Arial"/>
          <w:bCs/>
          <w:color w:val="000000"/>
          <w:sz w:val="22"/>
          <w:szCs w:val="22"/>
        </w:rPr>
        <w:t xml:space="preserve">se reunieron en varias ocasiones, siendo la más reciente el día 22/10/2024, donde </w:t>
      </w:r>
      <w:r w:rsidRPr="00C521CA">
        <w:rPr>
          <w:rFonts w:ascii="Arial" w:eastAsia="Calibri" w:hAnsi="Arial" w:cs="Arial"/>
          <w:noProof/>
          <w:sz w:val="22"/>
          <w:szCs w:val="22"/>
          <w:lang w:val="es-DO"/>
        </w:rPr>
        <w:t xml:space="preserve">analizaron de manera integral la propuesta </w:t>
      </w:r>
      <w:r w:rsidRPr="00C521CA">
        <w:rPr>
          <w:rFonts w:ascii="Arial" w:eastAsia="Calibri" w:hAnsi="Arial" w:cs="Arial"/>
          <w:sz w:val="22"/>
          <w:szCs w:val="22"/>
          <w:lang w:val="es-DO"/>
        </w:rPr>
        <w:t xml:space="preserve">presentada por la SISALRIL de </w:t>
      </w:r>
      <w:r w:rsidRPr="00C521CA">
        <w:rPr>
          <w:rFonts w:ascii="Arial" w:hAnsi="Arial" w:cs="Arial"/>
          <w:b/>
          <w:color w:val="000000"/>
          <w:sz w:val="22"/>
          <w:szCs w:val="22"/>
          <w:lang w:val="es-MX" w:eastAsia="es-DO"/>
        </w:rPr>
        <w:t xml:space="preserve">Normativa Interna que define el ámbito de actuación de la Comisión Técnica de la Discapacidad para el Seguro de Riesgos Laborales (CTD-SRL) del SDSS. </w:t>
      </w:r>
    </w:p>
    <w:p w14:paraId="75498453" w14:textId="77777777" w:rsidR="00CE43FB" w:rsidRPr="00C521CA" w:rsidRDefault="00CE43FB" w:rsidP="00C521CA">
      <w:pPr>
        <w:ind w:left="-340"/>
        <w:jc w:val="both"/>
        <w:rPr>
          <w:rFonts w:ascii="Arial" w:eastAsia="Calibri" w:hAnsi="Arial" w:cs="Arial"/>
          <w:sz w:val="22"/>
          <w:szCs w:val="22"/>
          <w:lang w:val="es-DO"/>
        </w:rPr>
      </w:pPr>
    </w:p>
    <w:p w14:paraId="20666B40" w14:textId="77777777" w:rsidR="00CE43FB" w:rsidRPr="00C521CA" w:rsidRDefault="00CE43FB" w:rsidP="00C521CA">
      <w:pPr>
        <w:ind w:left="-340"/>
        <w:jc w:val="both"/>
        <w:rPr>
          <w:rFonts w:ascii="Arial" w:hAnsi="Arial" w:cs="Arial"/>
          <w:bCs/>
          <w:color w:val="000000"/>
          <w:sz w:val="22"/>
          <w:szCs w:val="22"/>
          <w:lang w:eastAsia="es-DO"/>
        </w:rPr>
      </w:pPr>
      <w:r w:rsidRPr="00C521CA">
        <w:rPr>
          <w:rFonts w:ascii="Arial" w:eastAsia="Calibri" w:hAnsi="Arial" w:cs="Arial"/>
          <w:b/>
          <w:sz w:val="22"/>
          <w:szCs w:val="22"/>
          <w:lang w:val="es-DO"/>
        </w:rPr>
        <w:t xml:space="preserve">CONSIDERANDO 3: </w:t>
      </w:r>
      <w:r w:rsidRPr="00C521CA">
        <w:rPr>
          <w:rFonts w:ascii="Arial" w:eastAsia="Calibri" w:hAnsi="Arial" w:cs="Arial"/>
          <w:sz w:val="22"/>
          <w:szCs w:val="22"/>
          <w:lang w:val="es-DO"/>
        </w:rPr>
        <w:t>Que, asimismo</w:t>
      </w:r>
      <w:r w:rsidRPr="00C521CA">
        <w:rPr>
          <w:rFonts w:ascii="Arial" w:hAnsi="Arial" w:cs="Arial"/>
          <w:spacing w:val="4"/>
          <w:sz w:val="22"/>
          <w:szCs w:val="22"/>
          <w:lang w:val="es-DO" w:bidi="ne-IN"/>
        </w:rPr>
        <w:t xml:space="preserve"> </w:t>
      </w:r>
      <w:r w:rsidRPr="00C521CA">
        <w:rPr>
          <w:rFonts w:ascii="Arial" w:hAnsi="Arial" w:cs="Arial"/>
          <w:bCs/>
          <w:color w:val="000000"/>
          <w:sz w:val="22"/>
          <w:szCs w:val="22"/>
          <w:lang w:eastAsia="es-DO"/>
        </w:rPr>
        <w:t xml:space="preserve">fueron escuchadas las observaciones de los </w:t>
      </w:r>
      <w:r w:rsidRPr="00C521CA">
        <w:rPr>
          <w:rFonts w:ascii="Arial" w:hAnsi="Arial" w:cs="Arial"/>
          <w:spacing w:val="4"/>
          <w:sz w:val="22"/>
          <w:szCs w:val="22"/>
          <w:lang w:val="es-DO" w:bidi="ne-IN"/>
        </w:rPr>
        <w:t xml:space="preserve">representantes de las siguientes entidades: </w:t>
      </w:r>
      <w:r w:rsidRPr="00C521CA">
        <w:rPr>
          <w:rFonts w:ascii="Arial" w:hAnsi="Arial" w:cs="Arial"/>
          <w:b/>
          <w:sz w:val="22"/>
          <w:szCs w:val="22"/>
          <w:lang w:val="es-DO"/>
        </w:rPr>
        <w:t xml:space="preserve">SISALRIL, IDOPPRIL </w:t>
      </w:r>
      <w:r w:rsidRPr="00C521CA">
        <w:rPr>
          <w:rFonts w:ascii="Arial" w:hAnsi="Arial" w:cs="Arial"/>
          <w:sz w:val="22"/>
          <w:szCs w:val="22"/>
          <w:lang w:val="es-DO"/>
        </w:rPr>
        <w:t>y los integrantes de la</w:t>
      </w:r>
      <w:r w:rsidRPr="00C521CA">
        <w:rPr>
          <w:rFonts w:ascii="Arial" w:hAnsi="Arial" w:cs="Arial"/>
          <w:b/>
          <w:sz w:val="22"/>
          <w:szCs w:val="22"/>
          <w:lang w:val="es-DO"/>
        </w:rPr>
        <w:t xml:space="preserve"> </w:t>
      </w:r>
      <w:r w:rsidRPr="00C521CA">
        <w:rPr>
          <w:rFonts w:ascii="Arial" w:eastAsia="Segoe UI" w:hAnsi="Arial" w:cs="Arial"/>
          <w:b/>
          <w:sz w:val="22"/>
          <w:szCs w:val="22"/>
          <w:lang w:val="es-DO"/>
        </w:rPr>
        <w:t>Comisión Técnica de Discapacidad del Seguro de Riesgos Laborales (CTD-SRL)</w:t>
      </w:r>
      <w:r w:rsidRPr="00C521CA">
        <w:rPr>
          <w:rFonts w:ascii="Arial" w:hAnsi="Arial" w:cs="Arial"/>
          <w:b/>
          <w:bCs/>
          <w:color w:val="000000"/>
          <w:sz w:val="22"/>
          <w:szCs w:val="22"/>
          <w:lang w:eastAsia="es-DO"/>
        </w:rPr>
        <w:t xml:space="preserve"> </w:t>
      </w:r>
      <w:r w:rsidRPr="00C521CA">
        <w:rPr>
          <w:rFonts w:ascii="Arial" w:hAnsi="Arial" w:cs="Arial"/>
          <w:color w:val="000000"/>
          <w:sz w:val="22"/>
          <w:szCs w:val="22"/>
          <w:lang w:eastAsia="es-DO"/>
        </w:rPr>
        <w:t>y</w:t>
      </w:r>
      <w:r w:rsidRPr="00C521CA">
        <w:rPr>
          <w:rFonts w:ascii="Arial" w:hAnsi="Arial" w:cs="Arial"/>
          <w:bCs/>
          <w:color w:val="000000"/>
          <w:sz w:val="22"/>
          <w:szCs w:val="22"/>
          <w:lang w:eastAsia="es-DO"/>
        </w:rPr>
        <w:t xml:space="preserve"> se aplicaron las que consideraron debían ser incorporadas al referido documento, conforme las disposiciones legales vigentes. </w:t>
      </w:r>
    </w:p>
    <w:p w14:paraId="142D3CE9" w14:textId="77777777" w:rsidR="00CE43FB" w:rsidRPr="00C521CA" w:rsidRDefault="00CE43FB" w:rsidP="00C521CA">
      <w:pPr>
        <w:spacing w:before="100" w:beforeAutospacing="1" w:after="100" w:afterAutospacing="1"/>
        <w:ind w:left="-340"/>
        <w:jc w:val="both"/>
        <w:rPr>
          <w:rFonts w:ascii="Arial" w:hAnsi="Arial" w:cs="Arial"/>
          <w:i/>
          <w:sz w:val="22"/>
          <w:szCs w:val="22"/>
          <w:lang w:val="es-DO"/>
        </w:rPr>
      </w:pPr>
      <w:r w:rsidRPr="00C521CA">
        <w:rPr>
          <w:rFonts w:ascii="Arial" w:eastAsia="Calibri" w:hAnsi="Arial" w:cs="Arial"/>
          <w:b/>
          <w:sz w:val="22"/>
          <w:szCs w:val="22"/>
          <w:lang w:val="es-DO"/>
        </w:rPr>
        <w:t xml:space="preserve">CONSIDERANDO 4: </w:t>
      </w:r>
      <w:r w:rsidRPr="00C521CA">
        <w:rPr>
          <w:rFonts w:ascii="Arial" w:eastAsia="Calibri" w:hAnsi="Arial" w:cs="Arial"/>
          <w:sz w:val="22"/>
          <w:szCs w:val="22"/>
          <w:lang w:val="es-DO"/>
        </w:rPr>
        <w:t xml:space="preserve">Que el </w:t>
      </w:r>
      <w:r w:rsidRPr="00C521CA">
        <w:rPr>
          <w:rFonts w:ascii="Arial" w:eastAsia="Calibri" w:hAnsi="Arial" w:cs="Arial"/>
          <w:b/>
          <w:sz w:val="22"/>
          <w:szCs w:val="22"/>
          <w:lang w:val="es-DO"/>
        </w:rPr>
        <w:t>artículo 23</w:t>
      </w:r>
      <w:r w:rsidRPr="00C521CA">
        <w:rPr>
          <w:rFonts w:ascii="Arial" w:eastAsia="Calibri" w:hAnsi="Arial" w:cs="Arial"/>
          <w:sz w:val="22"/>
          <w:szCs w:val="22"/>
          <w:lang w:val="es-DO"/>
        </w:rPr>
        <w:t xml:space="preserve"> </w:t>
      </w:r>
      <w:r w:rsidRPr="00C521CA">
        <w:rPr>
          <w:rFonts w:ascii="Arial" w:hAnsi="Arial" w:cs="Arial"/>
          <w:sz w:val="22"/>
          <w:szCs w:val="22"/>
        </w:rPr>
        <w:t xml:space="preserve">de la </w:t>
      </w:r>
      <w:r w:rsidRPr="00C521CA">
        <w:rPr>
          <w:rFonts w:ascii="Arial" w:hAnsi="Arial" w:cs="Arial"/>
          <w:b/>
          <w:sz w:val="22"/>
          <w:szCs w:val="22"/>
        </w:rPr>
        <w:t>Ley 200-04 del 28 de julio del 2004, General de Libre Acceso a la Información Pública</w:t>
      </w:r>
      <w:r w:rsidRPr="00C521CA">
        <w:rPr>
          <w:rFonts w:ascii="Arial" w:hAnsi="Arial" w:cs="Arial"/>
          <w:sz w:val="22"/>
          <w:szCs w:val="22"/>
        </w:rPr>
        <w:t xml:space="preserve">, establece lo siguiente: </w:t>
      </w:r>
      <w:r w:rsidRPr="00C521CA">
        <w:rPr>
          <w:rFonts w:ascii="Arial" w:hAnsi="Arial" w:cs="Arial"/>
          <w:i/>
          <w:sz w:val="22"/>
          <w:szCs w:val="22"/>
        </w:rPr>
        <w:t>“</w:t>
      </w:r>
      <w:r w:rsidRPr="00C521CA">
        <w:rPr>
          <w:rFonts w:ascii="Arial" w:hAnsi="Arial" w:cs="Arial"/>
          <w:i/>
          <w:sz w:val="22"/>
          <w:szCs w:val="22"/>
          <w:lang w:val="es-DO"/>
        </w:rPr>
        <w:t>Las entidades o personas que cumplen funciones públicas o que administran recursos del Estado tienen la obligación de publicar a través de medios oficiales o privados de amplia difusión, incluyendo medios o mecanismos electrónicos y con suficiente antelación a la fecha de su expedición, los proyectos de regulaciones que pretendan adoptar mediante reglamento o actos de carácter general, relacionadas con requisitos o formalidades que rigen las relaciones entre los particulares y la administración o que se exigen a las personas para el ejercicio de sus derechos y actividades”.</w:t>
      </w:r>
    </w:p>
    <w:p w14:paraId="26867523" w14:textId="77777777" w:rsidR="00CE43FB" w:rsidRPr="00C521CA" w:rsidRDefault="00CE43FB" w:rsidP="00C521CA">
      <w:pPr>
        <w:autoSpaceDE w:val="0"/>
        <w:autoSpaceDN w:val="0"/>
        <w:adjustRightInd w:val="0"/>
        <w:ind w:left="-340"/>
        <w:jc w:val="both"/>
        <w:rPr>
          <w:rFonts w:ascii="Arial" w:hAnsi="Arial" w:cs="Arial"/>
          <w:i/>
          <w:sz w:val="22"/>
          <w:szCs w:val="22"/>
          <w:lang w:val="es-DO"/>
        </w:rPr>
      </w:pPr>
      <w:r w:rsidRPr="00C521CA">
        <w:rPr>
          <w:rFonts w:ascii="Arial" w:eastAsia="Calibri" w:hAnsi="Arial" w:cs="Arial"/>
          <w:b/>
          <w:sz w:val="22"/>
          <w:szCs w:val="22"/>
          <w:lang w:val="es-DO"/>
        </w:rPr>
        <w:t xml:space="preserve">CONSIDERANDO 5: </w:t>
      </w:r>
      <w:r w:rsidRPr="00C521CA">
        <w:rPr>
          <w:rFonts w:ascii="Arial" w:eastAsia="Calibri" w:hAnsi="Arial" w:cs="Arial"/>
          <w:sz w:val="22"/>
          <w:szCs w:val="22"/>
          <w:lang w:val="es-DO"/>
        </w:rPr>
        <w:t xml:space="preserve">Que, asimismo, el </w:t>
      </w:r>
      <w:r w:rsidRPr="00C521CA">
        <w:rPr>
          <w:rFonts w:ascii="Arial" w:eastAsia="Calibri" w:hAnsi="Arial" w:cs="Arial"/>
          <w:b/>
          <w:sz w:val="22"/>
          <w:szCs w:val="22"/>
          <w:lang w:val="es-DO"/>
        </w:rPr>
        <w:t>ar</w:t>
      </w:r>
      <w:r w:rsidRPr="00C521CA">
        <w:rPr>
          <w:rFonts w:ascii="Arial" w:hAnsi="Arial" w:cs="Arial"/>
          <w:b/>
          <w:sz w:val="22"/>
          <w:szCs w:val="22"/>
          <w:lang w:val="es-DO"/>
        </w:rPr>
        <w:t xml:space="preserve">tículo 24 </w:t>
      </w:r>
      <w:r w:rsidRPr="00C521CA">
        <w:rPr>
          <w:rFonts w:ascii="Arial" w:hAnsi="Arial" w:cs="Arial"/>
          <w:sz w:val="22"/>
          <w:szCs w:val="22"/>
          <w:lang w:val="es-DO"/>
        </w:rPr>
        <w:t xml:space="preserve">de la citada Ley 200-04, dispone lo siguiente: </w:t>
      </w:r>
      <w:r w:rsidRPr="00C521CA">
        <w:rPr>
          <w:rFonts w:ascii="Arial" w:hAnsi="Arial" w:cs="Arial"/>
          <w:i/>
          <w:sz w:val="22"/>
          <w:szCs w:val="22"/>
          <w:lang w:val="es-DO"/>
        </w:rPr>
        <w:t xml:space="preserve">“Las entidades o personas que cumplen funciones públicas o que administren recursos del Estado deberán prever en sus presupuestos las sumas necesarias para hacer publicaciones en los medios de comunicación colectiva, con amplia difusión nacional, de los proyectos de reglamentos y actos de carácter general, a los que se ha hecho referencia en el artículo anterior. </w:t>
      </w:r>
      <w:r w:rsidRPr="00C521CA">
        <w:rPr>
          <w:rFonts w:ascii="Arial" w:hAnsi="Arial" w:cs="Arial"/>
          <w:b/>
          <w:i/>
          <w:sz w:val="22"/>
          <w:szCs w:val="22"/>
          <w:lang w:val="es-DO"/>
        </w:rPr>
        <w:t>Párrafo.-</w:t>
      </w:r>
      <w:r w:rsidRPr="00C521CA">
        <w:rPr>
          <w:rFonts w:ascii="Arial" w:hAnsi="Arial" w:cs="Arial"/>
          <w:i/>
          <w:sz w:val="22"/>
          <w:szCs w:val="22"/>
          <w:lang w:val="es-DO"/>
        </w:rPr>
        <w:t xml:space="preserve"> En los casos en que la entidad o persona correspondiente cuente con un portal de Internet o con una página en dicho medio de comunicación, deberá prever la existencia de un lugar específico en ese medio para que los ciudadanos puedan obtener información sobre los proyectos de reglamentación, de regulación de servicios, de actos y comunicaciones de valor general, que determinen de alguna manera la forma de protección de los servicios y el acceso de las personas de la mencionada entidad. Dicha información deberá ser actual y explicativa de su contenido, con un lenguaje entendible al ciudadano común”.</w:t>
      </w:r>
    </w:p>
    <w:p w14:paraId="0F4885ED" w14:textId="77777777" w:rsidR="00CE43FB" w:rsidRPr="00C521CA" w:rsidRDefault="00CE43FB" w:rsidP="00C521CA">
      <w:pPr>
        <w:autoSpaceDE w:val="0"/>
        <w:autoSpaceDN w:val="0"/>
        <w:adjustRightInd w:val="0"/>
        <w:ind w:left="-340"/>
        <w:jc w:val="both"/>
        <w:rPr>
          <w:rFonts w:ascii="Arial" w:hAnsi="Arial" w:cs="Arial"/>
          <w:i/>
          <w:sz w:val="22"/>
          <w:szCs w:val="22"/>
          <w:lang w:val="es-DO"/>
        </w:rPr>
      </w:pPr>
    </w:p>
    <w:p w14:paraId="6C469024" w14:textId="77777777" w:rsidR="00CE43FB" w:rsidRPr="00C521CA" w:rsidRDefault="00CE43FB" w:rsidP="00C521CA">
      <w:pPr>
        <w:autoSpaceDE w:val="0"/>
        <w:autoSpaceDN w:val="0"/>
        <w:adjustRightInd w:val="0"/>
        <w:ind w:left="-340"/>
        <w:jc w:val="both"/>
        <w:rPr>
          <w:rFonts w:ascii="Arial" w:hAnsi="Arial" w:cs="Arial"/>
          <w:i/>
          <w:sz w:val="22"/>
          <w:szCs w:val="22"/>
        </w:rPr>
      </w:pPr>
      <w:r w:rsidRPr="00C521CA">
        <w:rPr>
          <w:rFonts w:ascii="Arial" w:eastAsia="Calibri" w:hAnsi="Arial" w:cs="Arial"/>
          <w:b/>
          <w:sz w:val="22"/>
          <w:szCs w:val="22"/>
          <w:lang w:val="es-DO"/>
        </w:rPr>
        <w:t xml:space="preserve">CONSIDERANDO 6: </w:t>
      </w:r>
      <w:r w:rsidRPr="00C521CA">
        <w:rPr>
          <w:rFonts w:ascii="Arial" w:eastAsia="Calibri" w:hAnsi="Arial" w:cs="Arial"/>
          <w:sz w:val="22"/>
          <w:szCs w:val="22"/>
          <w:lang w:val="es-DO"/>
        </w:rPr>
        <w:t xml:space="preserve">Que el </w:t>
      </w:r>
      <w:r w:rsidRPr="00C521CA">
        <w:rPr>
          <w:rFonts w:ascii="Arial" w:hAnsi="Arial" w:cs="Arial"/>
          <w:b/>
          <w:sz w:val="22"/>
          <w:szCs w:val="22"/>
        </w:rPr>
        <w:t xml:space="preserve">artículo 22 </w:t>
      </w:r>
      <w:r w:rsidRPr="00C521CA">
        <w:rPr>
          <w:rFonts w:ascii="Arial" w:hAnsi="Arial" w:cs="Arial"/>
          <w:sz w:val="22"/>
          <w:szCs w:val="22"/>
        </w:rPr>
        <w:t>de la</w:t>
      </w:r>
      <w:r w:rsidRPr="00C521CA">
        <w:rPr>
          <w:rFonts w:ascii="Arial" w:hAnsi="Arial" w:cs="Arial"/>
          <w:b/>
          <w:sz w:val="22"/>
          <w:szCs w:val="22"/>
        </w:rPr>
        <w:t xml:space="preserve"> </w:t>
      </w:r>
      <w:r w:rsidRPr="00C521CA">
        <w:rPr>
          <w:rFonts w:ascii="Arial" w:eastAsia="Calibri" w:hAnsi="Arial" w:cs="Arial"/>
          <w:b/>
          <w:sz w:val="22"/>
          <w:szCs w:val="22"/>
        </w:rPr>
        <w:t xml:space="preserve">Ley No. 167-21 de Mejora Regulatoria y Simplificación de Trámites, </w:t>
      </w:r>
      <w:r w:rsidRPr="00C521CA">
        <w:rPr>
          <w:rFonts w:ascii="Arial" w:eastAsia="Calibri" w:hAnsi="Arial" w:cs="Arial"/>
          <w:sz w:val="22"/>
          <w:szCs w:val="22"/>
        </w:rPr>
        <w:t>sobre la</w:t>
      </w:r>
      <w:r w:rsidRPr="00C521CA">
        <w:rPr>
          <w:rFonts w:ascii="Arial" w:hAnsi="Arial" w:cs="Arial"/>
          <w:sz w:val="22"/>
          <w:szCs w:val="22"/>
        </w:rPr>
        <w:t xml:space="preserve"> Consulta pública de las propuestas de regulación, dispone lo siguiente: </w:t>
      </w:r>
      <w:r w:rsidRPr="00C521CA">
        <w:rPr>
          <w:rFonts w:ascii="Arial" w:hAnsi="Arial" w:cs="Arial"/>
          <w:i/>
          <w:sz w:val="22"/>
          <w:szCs w:val="22"/>
        </w:rPr>
        <w:t>“Los entes y órganos de la Administración Pública, someterán a consulta pública sus propuestas de regulación, junto con su respectivo análisis de impacto regulatorio y cualquier otro documento que lo requiera”.</w:t>
      </w:r>
    </w:p>
    <w:p w14:paraId="6A149403" w14:textId="77777777" w:rsidR="00CE43FB" w:rsidRPr="00C521CA" w:rsidRDefault="00CE43FB" w:rsidP="00C521CA">
      <w:pPr>
        <w:autoSpaceDE w:val="0"/>
        <w:autoSpaceDN w:val="0"/>
        <w:adjustRightInd w:val="0"/>
        <w:ind w:left="-340"/>
        <w:jc w:val="both"/>
        <w:rPr>
          <w:rFonts w:ascii="Arial" w:hAnsi="Arial" w:cs="Arial"/>
          <w:i/>
          <w:sz w:val="22"/>
          <w:szCs w:val="22"/>
        </w:rPr>
      </w:pPr>
    </w:p>
    <w:p w14:paraId="327F1653" w14:textId="77777777" w:rsidR="00CE43FB" w:rsidRPr="00C521CA" w:rsidRDefault="00CE43FB" w:rsidP="00C521CA">
      <w:pPr>
        <w:pStyle w:val="Sinespaciado"/>
        <w:ind w:left="-340"/>
        <w:jc w:val="both"/>
        <w:rPr>
          <w:rFonts w:ascii="Arial" w:eastAsia="Times New Roman" w:hAnsi="Arial" w:cs="Arial"/>
          <w:lang w:eastAsia="es-ES"/>
        </w:rPr>
      </w:pPr>
      <w:r w:rsidRPr="00C521CA">
        <w:rPr>
          <w:rFonts w:ascii="Arial" w:hAnsi="Arial" w:cs="Arial"/>
          <w:b/>
          <w:lang w:val="es-DO"/>
        </w:rPr>
        <w:t xml:space="preserve">CONSIDERANDO 7: </w:t>
      </w:r>
      <w:r w:rsidRPr="00C521CA">
        <w:rPr>
          <w:rFonts w:ascii="Arial" w:eastAsia="Times New Roman" w:hAnsi="Arial" w:cs="Arial"/>
          <w:lang w:val="es-DO" w:eastAsia="es-ES"/>
        </w:rPr>
        <w:t xml:space="preserve">Que mediante la </w:t>
      </w:r>
      <w:r w:rsidRPr="00C521CA">
        <w:rPr>
          <w:rFonts w:ascii="Arial" w:eastAsia="Times New Roman" w:hAnsi="Arial" w:cs="Arial"/>
          <w:b/>
          <w:bCs/>
          <w:lang w:val="es-DO" w:eastAsia="es-ES"/>
        </w:rPr>
        <w:t>comunicación del CNSS No. 2199, d/f 23/10/2024</w:t>
      </w:r>
      <w:r w:rsidRPr="00C521CA">
        <w:rPr>
          <w:rFonts w:ascii="Arial" w:eastAsia="Times New Roman" w:hAnsi="Arial" w:cs="Arial"/>
          <w:lang w:val="es-DO" w:eastAsia="es-ES"/>
        </w:rPr>
        <w:t xml:space="preserve"> se le solicitó a la </w:t>
      </w:r>
      <w:r w:rsidRPr="00C521CA">
        <w:rPr>
          <w:rFonts w:ascii="Arial" w:eastAsia="Times New Roman" w:hAnsi="Arial" w:cs="Arial"/>
          <w:b/>
          <w:bCs/>
          <w:lang w:val="es-DO" w:eastAsia="es-ES"/>
        </w:rPr>
        <w:t>SISALRIL</w:t>
      </w:r>
      <w:r w:rsidRPr="00C521CA">
        <w:rPr>
          <w:rFonts w:ascii="Arial" w:eastAsia="Times New Roman" w:hAnsi="Arial" w:cs="Arial"/>
          <w:lang w:val="es-DO" w:eastAsia="es-ES"/>
        </w:rPr>
        <w:t xml:space="preserve"> que remita </w:t>
      </w:r>
      <w:r w:rsidRPr="00C521CA">
        <w:rPr>
          <w:rFonts w:ascii="Arial" w:hAnsi="Arial" w:cs="Arial"/>
        </w:rPr>
        <w:t xml:space="preserve">el </w:t>
      </w:r>
      <w:r w:rsidRPr="00C521CA">
        <w:rPr>
          <w:rFonts w:ascii="Arial" w:hAnsi="Arial" w:cs="Arial"/>
          <w:b/>
          <w:bCs/>
        </w:rPr>
        <w:t>Análisis de Impacto Regulatorio (AIR)</w:t>
      </w:r>
      <w:r w:rsidRPr="00C521CA">
        <w:rPr>
          <w:rFonts w:ascii="Arial" w:hAnsi="Arial" w:cs="Arial"/>
        </w:rPr>
        <w:t xml:space="preserve">, de la  propuesta </w:t>
      </w:r>
      <w:r w:rsidRPr="00C521CA">
        <w:rPr>
          <w:rFonts w:ascii="Arial" w:hAnsi="Arial" w:cs="Arial"/>
          <w:lang w:val="es-DO"/>
        </w:rPr>
        <w:t xml:space="preserve">de </w:t>
      </w:r>
      <w:r w:rsidRPr="00C521CA">
        <w:rPr>
          <w:rFonts w:ascii="Arial" w:hAnsi="Arial" w:cs="Arial"/>
          <w:color w:val="000000"/>
          <w:lang w:val="es-MX" w:eastAsia="es-DO"/>
        </w:rPr>
        <w:t>Normativa Interna que define el ámbito de actuación de la Comisión Técnica de la Discapacidad para el Seguro de Riesgos Laborales (CTD-SRL) del SDSS</w:t>
      </w:r>
      <w:r w:rsidRPr="00C521CA">
        <w:rPr>
          <w:rFonts w:ascii="Arial" w:hAnsi="Arial" w:cs="Arial"/>
        </w:rPr>
        <w:t xml:space="preserve">, </w:t>
      </w:r>
      <w:r w:rsidRPr="00C521CA">
        <w:rPr>
          <w:rFonts w:ascii="Arial" w:eastAsia="Times New Roman" w:hAnsi="Arial" w:cs="Arial"/>
          <w:lang w:val="es-DO" w:eastAsia="es-ES"/>
        </w:rPr>
        <w:t xml:space="preserve">en cumplimento a </w:t>
      </w:r>
      <w:r w:rsidRPr="00C521CA">
        <w:rPr>
          <w:rFonts w:ascii="Arial" w:hAnsi="Arial" w:cs="Arial"/>
        </w:rPr>
        <w:t xml:space="preserve">lo establecido en la Ley No. 167-21, d/f 9/8/2021 sobre Mejora Regulatoria y Simplificación de Trámites y su Reglamento de Aplicación promulgado a través del Decreto No. 486-22, d/f 24/08/2022. </w:t>
      </w:r>
    </w:p>
    <w:p w14:paraId="508842D2" w14:textId="77777777" w:rsidR="00CE43FB" w:rsidRPr="00C521CA" w:rsidRDefault="00CE43FB" w:rsidP="00C521CA">
      <w:pPr>
        <w:autoSpaceDE w:val="0"/>
        <w:autoSpaceDN w:val="0"/>
        <w:adjustRightInd w:val="0"/>
        <w:ind w:left="-340"/>
        <w:jc w:val="both"/>
        <w:rPr>
          <w:rFonts w:ascii="Arial" w:hAnsi="Arial" w:cs="Arial"/>
          <w:sz w:val="22"/>
          <w:szCs w:val="22"/>
        </w:rPr>
      </w:pPr>
    </w:p>
    <w:p w14:paraId="167855DF" w14:textId="77777777" w:rsidR="00CE43FB" w:rsidRPr="00C521CA" w:rsidRDefault="00CE43FB" w:rsidP="00C521CA">
      <w:pPr>
        <w:autoSpaceDE w:val="0"/>
        <w:autoSpaceDN w:val="0"/>
        <w:adjustRightInd w:val="0"/>
        <w:ind w:left="-340"/>
        <w:jc w:val="both"/>
        <w:rPr>
          <w:rFonts w:ascii="Arial" w:eastAsia="Calibri" w:hAnsi="Arial" w:cs="Arial"/>
          <w:i/>
          <w:sz w:val="22"/>
          <w:szCs w:val="22"/>
        </w:rPr>
      </w:pPr>
      <w:r w:rsidRPr="00C521CA">
        <w:rPr>
          <w:rFonts w:ascii="Arial" w:eastAsia="Calibri" w:hAnsi="Arial" w:cs="Arial"/>
          <w:b/>
          <w:sz w:val="22"/>
          <w:szCs w:val="22"/>
          <w:lang w:val="es-DO"/>
        </w:rPr>
        <w:t xml:space="preserve">CONSIDERANDO 8: </w:t>
      </w:r>
      <w:r w:rsidRPr="00C521CA">
        <w:rPr>
          <w:rFonts w:ascii="Arial" w:eastAsia="Calibri" w:hAnsi="Arial" w:cs="Arial"/>
          <w:sz w:val="22"/>
          <w:szCs w:val="22"/>
          <w:lang w:val="es-DO"/>
        </w:rPr>
        <w:t xml:space="preserve">Que el </w:t>
      </w:r>
      <w:r w:rsidRPr="00C521CA">
        <w:rPr>
          <w:rFonts w:ascii="Arial" w:eastAsia="Calibri" w:hAnsi="Arial" w:cs="Arial"/>
          <w:b/>
          <w:sz w:val="22"/>
          <w:szCs w:val="22"/>
          <w:lang w:val="es-DO"/>
        </w:rPr>
        <w:t>a</w:t>
      </w:r>
      <w:proofErr w:type="spellStart"/>
      <w:r w:rsidRPr="00C521CA">
        <w:rPr>
          <w:rFonts w:ascii="Arial" w:hAnsi="Arial" w:cs="Arial"/>
          <w:b/>
          <w:sz w:val="22"/>
          <w:szCs w:val="22"/>
        </w:rPr>
        <w:t>rtículo</w:t>
      </w:r>
      <w:proofErr w:type="spellEnd"/>
      <w:r w:rsidRPr="00C521CA">
        <w:rPr>
          <w:rFonts w:ascii="Arial" w:hAnsi="Arial" w:cs="Arial"/>
          <w:b/>
          <w:sz w:val="22"/>
          <w:szCs w:val="22"/>
        </w:rPr>
        <w:t xml:space="preserve"> 23 </w:t>
      </w:r>
      <w:r w:rsidRPr="00C521CA">
        <w:rPr>
          <w:rFonts w:ascii="Arial" w:hAnsi="Arial" w:cs="Arial"/>
          <w:sz w:val="22"/>
          <w:szCs w:val="22"/>
        </w:rPr>
        <w:t>de la</w:t>
      </w:r>
      <w:r w:rsidRPr="00C521CA">
        <w:rPr>
          <w:rFonts w:ascii="Arial" w:hAnsi="Arial" w:cs="Arial"/>
          <w:b/>
          <w:sz w:val="22"/>
          <w:szCs w:val="22"/>
        </w:rPr>
        <w:t xml:space="preserve"> </w:t>
      </w:r>
      <w:r w:rsidRPr="00C521CA">
        <w:rPr>
          <w:rFonts w:ascii="Arial" w:hAnsi="Arial" w:cs="Arial"/>
          <w:sz w:val="22"/>
          <w:szCs w:val="22"/>
        </w:rPr>
        <w:t>citada</w:t>
      </w:r>
      <w:r w:rsidRPr="00C521CA">
        <w:rPr>
          <w:rFonts w:ascii="Arial" w:hAnsi="Arial" w:cs="Arial"/>
          <w:b/>
          <w:sz w:val="22"/>
          <w:szCs w:val="22"/>
        </w:rPr>
        <w:t xml:space="preserve"> </w:t>
      </w:r>
      <w:r w:rsidRPr="00C521CA">
        <w:rPr>
          <w:rFonts w:ascii="Arial" w:eastAsia="Calibri" w:hAnsi="Arial" w:cs="Arial"/>
          <w:b/>
          <w:sz w:val="22"/>
          <w:szCs w:val="22"/>
        </w:rPr>
        <w:t>Ley No. 167-21 de Mejora Regulatoria y Simplificación de Trámites</w:t>
      </w:r>
      <w:r w:rsidRPr="00C521CA">
        <w:rPr>
          <w:rFonts w:ascii="Arial" w:eastAsia="Calibri" w:hAnsi="Arial" w:cs="Arial"/>
          <w:sz w:val="22"/>
          <w:szCs w:val="22"/>
        </w:rPr>
        <w:t xml:space="preserve">, y el </w:t>
      </w:r>
      <w:r w:rsidRPr="00C521CA">
        <w:rPr>
          <w:rFonts w:ascii="Arial" w:eastAsia="Calibri" w:hAnsi="Arial" w:cs="Arial"/>
          <w:b/>
          <w:sz w:val="22"/>
          <w:szCs w:val="22"/>
        </w:rPr>
        <w:t>artículo 33</w:t>
      </w:r>
      <w:r w:rsidRPr="00C521CA">
        <w:rPr>
          <w:rFonts w:ascii="Arial" w:eastAsia="Calibri" w:hAnsi="Arial" w:cs="Arial"/>
          <w:sz w:val="22"/>
          <w:szCs w:val="22"/>
        </w:rPr>
        <w:t xml:space="preserve"> de su </w:t>
      </w:r>
      <w:r w:rsidRPr="00C521CA">
        <w:rPr>
          <w:rFonts w:ascii="Arial" w:eastAsia="Calibri" w:hAnsi="Arial" w:cs="Arial"/>
          <w:b/>
          <w:sz w:val="22"/>
          <w:szCs w:val="22"/>
        </w:rPr>
        <w:t>Reglamento de Aplicación,</w:t>
      </w:r>
      <w:r w:rsidRPr="00C521CA">
        <w:rPr>
          <w:rFonts w:ascii="Arial" w:eastAsia="Calibri" w:hAnsi="Arial" w:cs="Arial"/>
          <w:sz w:val="22"/>
          <w:szCs w:val="22"/>
        </w:rPr>
        <w:t xml:space="preserve"> dispone sobre el plazo de consulta pública </w:t>
      </w:r>
      <w:r w:rsidRPr="00C521CA">
        <w:rPr>
          <w:rFonts w:ascii="Arial" w:hAnsi="Arial" w:cs="Arial"/>
          <w:sz w:val="22"/>
          <w:szCs w:val="22"/>
        </w:rPr>
        <w:t>lo siguiente: “</w:t>
      </w:r>
      <w:r w:rsidRPr="00C521CA">
        <w:rPr>
          <w:rFonts w:ascii="Arial" w:eastAsia="Calibri" w:hAnsi="Arial" w:cs="Arial"/>
          <w:i/>
          <w:sz w:val="22"/>
          <w:szCs w:val="22"/>
        </w:rPr>
        <w:t>El plazo para someter a consulta pública las propuestas de regulaciones económicas y sociales significativas, será de cuarenta y cinco (45) días hábiles. Párrafo I: Para aquellas propuestas de regulación que no cumplan con los criterios económicos y sociales significativos, el plazo será de veinte (20) días hábiles. Párrafo II: Las propuestas de regulación que cumplan con los criterios económicos y sociales significativos, deberán ser sometidas a consulta pública junto a su respectivo análisis de impacto regulatorio”.</w:t>
      </w:r>
    </w:p>
    <w:p w14:paraId="21830EDA" w14:textId="77777777" w:rsidR="00CE43FB" w:rsidRPr="00C521CA" w:rsidRDefault="00CE43FB" w:rsidP="00C521CA">
      <w:pPr>
        <w:autoSpaceDE w:val="0"/>
        <w:autoSpaceDN w:val="0"/>
        <w:adjustRightInd w:val="0"/>
        <w:ind w:left="-340"/>
        <w:jc w:val="both"/>
        <w:rPr>
          <w:rFonts w:ascii="Arial" w:hAnsi="Arial" w:cs="Arial"/>
          <w:sz w:val="22"/>
          <w:szCs w:val="22"/>
        </w:rPr>
      </w:pPr>
    </w:p>
    <w:p w14:paraId="3BDD7592" w14:textId="77777777" w:rsidR="00CE43FB" w:rsidRPr="00C521CA" w:rsidRDefault="00CE43FB" w:rsidP="00C521CA">
      <w:pPr>
        <w:autoSpaceDE w:val="0"/>
        <w:autoSpaceDN w:val="0"/>
        <w:adjustRightInd w:val="0"/>
        <w:ind w:left="-340"/>
        <w:jc w:val="both"/>
        <w:rPr>
          <w:rFonts w:ascii="Arial" w:hAnsi="Arial" w:cs="Arial"/>
          <w:i/>
          <w:sz w:val="22"/>
          <w:szCs w:val="22"/>
        </w:rPr>
      </w:pPr>
      <w:r w:rsidRPr="00C521CA">
        <w:rPr>
          <w:rFonts w:ascii="Arial" w:eastAsia="Calibri" w:hAnsi="Arial" w:cs="Arial"/>
          <w:b/>
          <w:sz w:val="22"/>
          <w:szCs w:val="22"/>
          <w:lang w:val="es-DO"/>
        </w:rPr>
        <w:t xml:space="preserve">CONSIDERANDO 9: </w:t>
      </w:r>
      <w:r w:rsidRPr="00C521CA">
        <w:rPr>
          <w:rFonts w:ascii="Arial" w:eastAsia="Calibri" w:hAnsi="Arial" w:cs="Arial"/>
          <w:sz w:val="22"/>
          <w:szCs w:val="22"/>
          <w:lang w:val="es-DO"/>
        </w:rPr>
        <w:t xml:space="preserve">Que el </w:t>
      </w:r>
      <w:r w:rsidRPr="00C521CA">
        <w:rPr>
          <w:rFonts w:ascii="Arial" w:eastAsia="Calibri" w:hAnsi="Arial" w:cs="Arial"/>
          <w:b/>
          <w:sz w:val="22"/>
          <w:szCs w:val="22"/>
          <w:lang w:val="es-DO"/>
        </w:rPr>
        <w:t>a</w:t>
      </w:r>
      <w:proofErr w:type="spellStart"/>
      <w:r w:rsidRPr="00C521CA">
        <w:rPr>
          <w:rFonts w:ascii="Arial" w:hAnsi="Arial" w:cs="Arial"/>
          <w:b/>
          <w:sz w:val="22"/>
          <w:szCs w:val="22"/>
        </w:rPr>
        <w:t>rtículo</w:t>
      </w:r>
      <w:proofErr w:type="spellEnd"/>
      <w:r w:rsidRPr="00C521CA">
        <w:rPr>
          <w:rFonts w:ascii="Arial" w:hAnsi="Arial" w:cs="Arial"/>
          <w:b/>
          <w:sz w:val="22"/>
          <w:szCs w:val="22"/>
        </w:rPr>
        <w:t xml:space="preserve"> 6 </w:t>
      </w:r>
      <w:r w:rsidRPr="00C521CA">
        <w:rPr>
          <w:rFonts w:ascii="Arial" w:hAnsi="Arial" w:cs="Arial"/>
          <w:sz w:val="22"/>
          <w:szCs w:val="22"/>
        </w:rPr>
        <w:t>del</w:t>
      </w:r>
      <w:r w:rsidRPr="00C521CA">
        <w:rPr>
          <w:rFonts w:ascii="Arial" w:hAnsi="Arial" w:cs="Arial"/>
          <w:b/>
          <w:sz w:val="22"/>
          <w:szCs w:val="22"/>
        </w:rPr>
        <w:t xml:space="preserve"> Reglamento Interno del CNS</w:t>
      </w:r>
      <w:r w:rsidRPr="00C521CA">
        <w:rPr>
          <w:rFonts w:ascii="Arial" w:hAnsi="Arial" w:cs="Arial"/>
          <w:sz w:val="22"/>
          <w:szCs w:val="22"/>
        </w:rPr>
        <w:t xml:space="preserve">S, relativo a los </w:t>
      </w:r>
      <w:r w:rsidRPr="00C521CA">
        <w:rPr>
          <w:rFonts w:ascii="Arial" w:hAnsi="Arial" w:cs="Arial"/>
          <w:b/>
          <w:sz w:val="22"/>
          <w:szCs w:val="22"/>
        </w:rPr>
        <w:t>Instrumentos Normativos</w:t>
      </w:r>
      <w:r w:rsidRPr="00C521CA">
        <w:rPr>
          <w:rFonts w:ascii="Arial" w:hAnsi="Arial" w:cs="Arial"/>
          <w:sz w:val="22"/>
          <w:szCs w:val="22"/>
        </w:rPr>
        <w:t xml:space="preserve">, empleados por el </w:t>
      </w:r>
      <w:r w:rsidRPr="00C521CA">
        <w:rPr>
          <w:rFonts w:ascii="Arial" w:hAnsi="Arial" w:cs="Arial"/>
          <w:b/>
          <w:sz w:val="22"/>
          <w:szCs w:val="22"/>
        </w:rPr>
        <w:t>CNSS</w:t>
      </w:r>
      <w:r w:rsidRPr="00C521CA">
        <w:rPr>
          <w:rFonts w:ascii="Arial" w:hAnsi="Arial" w:cs="Arial"/>
          <w:sz w:val="22"/>
          <w:szCs w:val="22"/>
        </w:rPr>
        <w:t xml:space="preserve">, dispone en el </w:t>
      </w:r>
      <w:r w:rsidRPr="00C521CA">
        <w:rPr>
          <w:rFonts w:ascii="Arial" w:hAnsi="Arial" w:cs="Arial"/>
          <w:b/>
          <w:sz w:val="22"/>
          <w:szCs w:val="22"/>
        </w:rPr>
        <w:t>numeral 3,</w:t>
      </w:r>
      <w:r w:rsidRPr="00C521CA">
        <w:rPr>
          <w:rFonts w:ascii="Arial" w:hAnsi="Arial" w:cs="Arial"/>
          <w:sz w:val="22"/>
          <w:szCs w:val="22"/>
        </w:rPr>
        <w:t xml:space="preserve"> sobre </w:t>
      </w:r>
      <w:r w:rsidRPr="00C521CA">
        <w:rPr>
          <w:rFonts w:ascii="Arial" w:hAnsi="Arial" w:cs="Arial"/>
          <w:b/>
          <w:sz w:val="22"/>
          <w:szCs w:val="22"/>
        </w:rPr>
        <w:t>Resoluciones</w:t>
      </w:r>
      <w:r w:rsidRPr="00C521CA">
        <w:rPr>
          <w:rFonts w:ascii="Arial" w:hAnsi="Arial" w:cs="Arial"/>
          <w:sz w:val="22"/>
          <w:szCs w:val="22"/>
        </w:rPr>
        <w:t xml:space="preserve"> lo siguiente: </w:t>
      </w:r>
      <w:r w:rsidRPr="00C521CA">
        <w:rPr>
          <w:rFonts w:ascii="Arial" w:hAnsi="Arial" w:cs="Arial"/>
          <w:i/>
          <w:sz w:val="22"/>
          <w:szCs w:val="22"/>
        </w:rPr>
        <w:t xml:space="preserve">“(…)  Todo acto formal del </w:t>
      </w:r>
      <w:r w:rsidRPr="00C521CA">
        <w:rPr>
          <w:rFonts w:ascii="Arial" w:hAnsi="Arial" w:cs="Arial"/>
          <w:b/>
          <w:i/>
          <w:sz w:val="22"/>
          <w:szCs w:val="22"/>
        </w:rPr>
        <w:t>CNSS</w:t>
      </w:r>
      <w:r w:rsidRPr="00C521CA">
        <w:rPr>
          <w:rFonts w:ascii="Arial" w:hAnsi="Arial" w:cs="Arial"/>
          <w:i/>
          <w:sz w:val="22"/>
          <w:szCs w:val="22"/>
        </w:rPr>
        <w:t xml:space="preserve"> será adoptado mediante Resoluciones. De manera específica, el </w:t>
      </w:r>
      <w:r w:rsidRPr="00C521CA">
        <w:rPr>
          <w:rFonts w:ascii="Arial" w:hAnsi="Arial" w:cs="Arial"/>
          <w:b/>
          <w:i/>
          <w:sz w:val="22"/>
          <w:szCs w:val="22"/>
        </w:rPr>
        <w:t>CNSS</w:t>
      </w:r>
      <w:r w:rsidRPr="00C521CA">
        <w:rPr>
          <w:rFonts w:ascii="Arial" w:hAnsi="Arial" w:cs="Arial"/>
          <w:i/>
          <w:sz w:val="22"/>
          <w:szCs w:val="22"/>
        </w:rPr>
        <w:t xml:space="preserve"> emitirá   Resoluciones   en   los   siguientes   casos: (…)  d) Convocatoria de Consulta Pública para el conocimiento de un proyecto de norma general; e) Aprobación y Publicación de cualquier norma de carácter general; f) Cualquier otra medida que corresponda a una decisión formal que afecte derechos o cree obligaciones en el SDSS. (…)”.</w:t>
      </w:r>
    </w:p>
    <w:p w14:paraId="39F43A9B" w14:textId="77777777" w:rsidR="00CE43FB" w:rsidRPr="00C521CA" w:rsidRDefault="00CE43FB" w:rsidP="00C521CA">
      <w:pPr>
        <w:autoSpaceDE w:val="0"/>
        <w:autoSpaceDN w:val="0"/>
        <w:adjustRightInd w:val="0"/>
        <w:ind w:left="-340"/>
        <w:jc w:val="both"/>
        <w:rPr>
          <w:rFonts w:ascii="Arial" w:eastAsia="Calibri" w:hAnsi="Arial" w:cs="Arial"/>
          <w:b/>
          <w:sz w:val="22"/>
          <w:szCs w:val="22"/>
          <w:lang w:val="es-DO"/>
        </w:rPr>
      </w:pPr>
    </w:p>
    <w:p w14:paraId="69791A9B" w14:textId="77777777" w:rsidR="00CE43FB" w:rsidRPr="00C521CA" w:rsidRDefault="00CE43FB" w:rsidP="00C521CA">
      <w:pPr>
        <w:autoSpaceDE w:val="0"/>
        <w:autoSpaceDN w:val="0"/>
        <w:adjustRightInd w:val="0"/>
        <w:ind w:left="-340"/>
        <w:jc w:val="both"/>
        <w:rPr>
          <w:rFonts w:ascii="Arial" w:eastAsia="Calibri" w:hAnsi="Arial" w:cs="Arial"/>
          <w:sz w:val="22"/>
          <w:szCs w:val="22"/>
          <w:lang w:val="es-DO"/>
        </w:rPr>
      </w:pPr>
      <w:r w:rsidRPr="00C521CA">
        <w:rPr>
          <w:rFonts w:ascii="Arial" w:eastAsia="Calibri" w:hAnsi="Arial" w:cs="Arial"/>
          <w:b/>
          <w:sz w:val="22"/>
          <w:szCs w:val="22"/>
          <w:lang w:val="es-DO"/>
        </w:rPr>
        <w:t xml:space="preserve">CONSIDERANDO 10: </w:t>
      </w:r>
      <w:r w:rsidRPr="00C521CA">
        <w:rPr>
          <w:rFonts w:ascii="Arial" w:eastAsia="Calibri" w:hAnsi="Arial" w:cs="Arial"/>
          <w:sz w:val="22"/>
          <w:szCs w:val="22"/>
          <w:lang w:val="es-DO"/>
        </w:rPr>
        <w:t xml:space="preserve">Que el </w:t>
      </w:r>
      <w:r w:rsidRPr="00C521CA">
        <w:rPr>
          <w:rFonts w:ascii="Arial" w:eastAsia="Calibri" w:hAnsi="Arial" w:cs="Arial"/>
          <w:b/>
          <w:sz w:val="22"/>
          <w:szCs w:val="22"/>
          <w:lang w:val="es-DO"/>
        </w:rPr>
        <w:t>artículo 7,</w:t>
      </w:r>
      <w:r w:rsidRPr="00C521CA">
        <w:rPr>
          <w:rFonts w:ascii="Arial" w:eastAsia="Calibri" w:hAnsi="Arial" w:cs="Arial"/>
          <w:sz w:val="22"/>
          <w:szCs w:val="22"/>
          <w:lang w:val="es-DO"/>
        </w:rPr>
        <w:t xml:space="preserve"> sobre la</w:t>
      </w:r>
      <w:r w:rsidRPr="00C521CA">
        <w:rPr>
          <w:rFonts w:ascii="Arial" w:eastAsia="Calibri" w:hAnsi="Arial" w:cs="Arial"/>
          <w:b/>
          <w:sz w:val="22"/>
          <w:szCs w:val="22"/>
          <w:lang w:val="es-DO"/>
        </w:rPr>
        <w:t xml:space="preserve"> Adopción de Instrumentos Normativos de Carácter General</w:t>
      </w:r>
      <w:r w:rsidRPr="00C521CA">
        <w:rPr>
          <w:rFonts w:ascii="Arial" w:eastAsia="Calibri" w:hAnsi="Arial" w:cs="Arial"/>
          <w:sz w:val="22"/>
          <w:szCs w:val="22"/>
          <w:lang w:val="es-DO"/>
        </w:rPr>
        <w:t xml:space="preserve">, del referido Reglamento Interno del CNSS, dispone lo siguiente: </w:t>
      </w:r>
      <w:r w:rsidRPr="00C521CA">
        <w:rPr>
          <w:rFonts w:ascii="Arial" w:eastAsia="Calibri" w:hAnsi="Arial" w:cs="Arial"/>
          <w:i/>
          <w:sz w:val="22"/>
          <w:szCs w:val="22"/>
          <w:lang w:val="es-DO"/>
        </w:rPr>
        <w:t>“La adopción de cualquier instrumento normativo de aplicación general a todo el SDSS o grupo de personas, entidades o instituciones vinculadas a un segmento del mismo, deberá ser realizada previo el agotamiento de un proceso de consulta pública, de acuerdo a lo establecido el artículo 23 de la Ley General de Acceso a la Información Pública No. 200-04. Concluido el proceso de consulta pública, el CNSS conocerá el proyecto de norma general para su aprobación</w:t>
      </w:r>
      <w:r w:rsidRPr="00C521CA">
        <w:rPr>
          <w:rFonts w:ascii="Arial" w:eastAsia="Calibri" w:hAnsi="Arial" w:cs="Arial"/>
          <w:sz w:val="22"/>
          <w:szCs w:val="22"/>
          <w:lang w:val="es-DO"/>
        </w:rPr>
        <w:t xml:space="preserve"> o rechazo y estudiará las observaciones realizadas, las cuales no serán vinculantes para el CNSS”.</w:t>
      </w:r>
    </w:p>
    <w:p w14:paraId="65FEA564" w14:textId="77777777" w:rsidR="00CE43FB" w:rsidRPr="00C521CA" w:rsidRDefault="00CE43FB" w:rsidP="00CE43FB">
      <w:pPr>
        <w:autoSpaceDE w:val="0"/>
        <w:autoSpaceDN w:val="0"/>
        <w:adjustRightInd w:val="0"/>
        <w:jc w:val="both"/>
        <w:rPr>
          <w:rFonts w:ascii="Arial" w:hAnsi="Arial" w:cs="Arial"/>
          <w:sz w:val="22"/>
          <w:szCs w:val="22"/>
          <w:lang w:val="es-DO"/>
        </w:rPr>
      </w:pPr>
    </w:p>
    <w:p w14:paraId="751BDB8B" w14:textId="77777777" w:rsidR="00CE43FB" w:rsidRPr="00C521CA" w:rsidRDefault="00CE43FB" w:rsidP="00C521CA">
      <w:pPr>
        <w:autoSpaceDE w:val="0"/>
        <w:autoSpaceDN w:val="0"/>
        <w:adjustRightInd w:val="0"/>
        <w:ind w:left="-340"/>
        <w:jc w:val="both"/>
        <w:rPr>
          <w:rFonts w:ascii="Arial" w:hAnsi="Arial" w:cs="Arial"/>
          <w:sz w:val="22"/>
          <w:szCs w:val="22"/>
          <w:lang w:val="es-DO"/>
        </w:rPr>
      </w:pPr>
      <w:r w:rsidRPr="00C521CA">
        <w:rPr>
          <w:rFonts w:ascii="Arial" w:eastAsia="Calibri" w:hAnsi="Arial" w:cs="Arial"/>
          <w:b/>
          <w:sz w:val="22"/>
          <w:szCs w:val="22"/>
          <w:lang w:val="es-DO"/>
        </w:rPr>
        <w:t xml:space="preserve">CONSIDERANDO 11: </w:t>
      </w:r>
      <w:r w:rsidRPr="00C521CA">
        <w:rPr>
          <w:rFonts w:ascii="Arial" w:eastAsia="Calibri" w:hAnsi="Arial" w:cs="Arial"/>
          <w:sz w:val="22"/>
          <w:szCs w:val="22"/>
          <w:lang w:val="es-DO"/>
        </w:rPr>
        <w:t>Que la</w:t>
      </w:r>
      <w:r w:rsidRPr="00C521CA">
        <w:rPr>
          <w:rFonts w:ascii="Arial" w:eastAsia="Calibri" w:hAnsi="Arial" w:cs="Arial"/>
          <w:b/>
          <w:sz w:val="22"/>
          <w:szCs w:val="22"/>
          <w:lang w:val="es-DO"/>
        </w:rPr>
        <w:t xml:space="preserve"> </w:t>
      </w:r>
      <w:r w:rsidRPr="00C521CA">
        <w:rPr>
          <w:rFonts w:ascii="Arial" w:hAnsi="Arial" w:cs="Arial"/>
          <w:b/>
          <w:sz w:val="22"/>
          <w:szCs w:val="22"/>
          <w:lang w:val="es-DO"/>
        </w:rPr>
        <w:t>Ley 107-13 sobre los derechos de las personas en sus relaciones con la Administración Pública y de Procedimiento Administrativo</w:t>
      </w:r>
      <w:r w:rsidRPr="00C521CA">
        <w:rPr>
          <w:rFonts w:ascii="Arial" w:hAnsi="Arial" w:cs="Arial"/>
          <w:sz w:val="22"/>
          <w:szCs w:val="22"/>
          <w:lang w:val="es-DO"/>
        </w:rPr>
        <w:t>, en su artículo 31, señala la Participación del público y la Publicación dentro de los principios y criterios que debe sujetarse la Administración Pública para la elaboración de reglamentos administrativos, planes y programas de alcance general.</w:t>
      </w:r>
    </w:p>
    <w:p w14:paraId="48C26B1E" w14:textId="77777777" w:rsidR="00CE43FB" w:rsidRPr="00C521CA" w:rsidRDefault="00CE43FB" w:rsidP="00C521CA">
      <w:pPr>
        <w:autoSpaceDE w:val="0"/>
        <w:autoSpaceDN w:val="0"/>
        <w:adjustRightInd w:val="0"/>
        <w:ind w:left="-340"/>
        <w:jc w:val="both"/>
        <w:rPr>
          <w:rFonts w:ascii="Arial" w:hAnsi="Arial" w:cs="Arial"/>
          <w:sz w:val="22"/>
          <w:szCs w:val="22"/>
          <w:lang w:val="es-DO"/>
        </w:rPr>
      </w:pPr>
    </w:p>
    <w:p w14:paraId="65942F0B" w14:textId="77777777" w:rsidR="00CE43FB" w:rsidRPr="00C521CA" w:rsidRDefault="00CE43FB" w:rsidP="00C521CA">
      <w:pPr>
        <w:ind w:left="-340"/>
        <w:jc w:val="both"/>
        <w:rPr>
          <w:rFonts w:ascii="Arial" w:hAnsi="Arial" w:cs="Arial"/>
          <w:sz w:val="22"/>
          <w:szCs w:val="22"/>
          <w:lang w:val="es-DO"/>
        </w:rPr>
      </w:pPr>
      <w:r w:rsidRPr="00C521CA">
        <w:rPr>
          <w:rFonts w:ascii="Arial" w:eastAsia="Calibri" w:hAnsi="Arial" w:cs="Arial"/>
          <w:b/>
          <w:sz w:val="22"/>
          <w:szCs w:val="22"/>
          <w:lang w:val="es-DO"/>
        </w:rPr>
        <w:t xml:space="preserve">CONSIDERANDO 12: </w:t>
      </w:r>
      <w:r w:rsidRPr="00C521CA">
        <w:rPr>
          <w:rFonts w:ascii="Arial" w:eastAsia="Calibri" w:hAnsi="Arial" w:cs="Arial"/>
          <w:sz w:val="22"/>
          <w:szCs w:val="22"/>
          <w:lang w:val="es-DO"/>
        </w:rPr>
        <w:t>Que en virtud de las disposiciones legales precedentemente expuestas y conforme a sus atribuciones, así como, al cumplimiento del debido proceso, los miembros de las</w:t>
      </w:r>
      <w:r w:rsidRPr="00C521CA">
        <w:rPr>
          <w:rFonts w:ascii="Arial" w:eastAsia="Calibri" w:hAnsi="Arial" w:cs="Arial"/>
          <w:b/>
          <w:sz w:val="22"/>
          <w:szCs w:val="22"/>
          <w:lang w:val="es-DO"/>
        </w:rPr>
        <w:t xml:space="preserve"> Comisiones Permanentes de Riesgos Laborales (CPRL) y de Reglamentos (CPR),</w:t>
      </w:r>
      <w:r w:rsidRPr="00C521CA">
        <w:rPr>
          <w:rFonts w:ascii="Arial" w:eastAsia="Calibri" w:hAnsi="Arial" w:cs="Arial"/>
          <w:sz w:val="22"/>
          <w:szCs w:val="22"/>
          <w:lang w:val="es-DO"/>
        </w:rPr>
        <w:t xml:space="preserve"> han dispuesto</w:t>
      </w:r>
      <w:r w:rsidRPr="00C521CA">
        <w:rPr>
          <w:rFonts w:ascii="Arial" w:hAnsi="Arial" w:cs="Arial"/>
          <w:sz w:val="22"/>
          <w:szCs w:val="22"/>
        </w:rPr>
        <w:t xml:space="preserve"> remitir </w:t>
      </w:r>
      <w:r w:rsidRPr="00C521CA">
        <w:rPr>
          <w:rFonts w:ascii="Arial" w:hAnsi="Arial" w:cs="Arial"/>
          <w:sz w:val="22"/>
          <w:szCs w:val="22"/>
          <w:lang w:val="es-DO"/>
        </w:rPr>
        <w:t xml:space="preserve">a </w:t>
      </w:r>
      <w:r w:rsidRPr="00C521CA">
        <w:rPr>
          <w:rFonts w:ascii="Arial" w:hAnsi="Arial" w:cs="Arial"/>
          <w:b/>
          <w:sz w:val="22"/>
          <w:szCs w:val="22"/>
          <w:lang w:val="es-DO"/>
        </w:rPr>
        <w:t>Consulta Pública</w:t>
      </w:r>
      <w:r w:rsidRPr="00C521CA">
        <w:rPr>
          <w:rFonts w:ascii="Arial" w:hAnsi="Arial" w:cs="Arial"/>
          <w:sz w:val="22"/>
          <w:szCs w:val="22"/>
          <w:lang w:val="es-DO"/>
        </w:rPr>
        <w:t xml:space="preserve"> </w:t>
      </w:r>
      <w:r w:rsidRPr="00C521CA">
        <w:rPr>
          <w:rFonts w:ascii="Arial" w:eastAsia="Calibri" w:hAnsi="Arial" w:cs="Arial"/>
          <w:sz w:val="22"/>
          <w:szCs w:val="22"/>
          <w:lang w:val="es-DO"/>
        </w:rPr>
        <w:t>la</w:t>
      </w:r>
      <w:r w:rsidRPr="00C521CA">
        <w:rPr>
          <w:rFonts w:ascii="Arial" w:hAnsi="Arial" w:cs="Arial"/>
          <w:sz w:val="22"/>
          <w:szCs w:val="22"/>
          <w:lang w:val="es-DO"/>
        </w:rPr>
        <w:t xml:space="preserve"> propuesta de </w:t>
      </w:r>
      <w:r w:rsidRPr="00C521CA">
        <w:rPr>
          <w:rFonts w:ascii="Arial" w:hAnsi="Arial" w:cs="Arial"/>
          <w:b/>
          <w:color w:val="000000"/>
          <w:sz w:val="22"/>
          <w:szCs w:val="22"/>
          <w:lang w:val="es-MX" w:eastAsia="es-DO"/>
        </w:rPr>
        <w:t>Normativa Interna que define el ámbito de actuación de la Comisión Técnica de la Discapacidad para el Seguro de Riesgos Laborales (CTD-SRL) del SDSS,</w:t>
      </w:r>
      <w:r w:rsidRPr="00C521CA">
        <w:rPr>
          <w:rFonts w:ascii="Arial" w:hAnsi="Arial" w:cs="Arial"/>
          <w:sz w:val="22"/>
          <w:szCs w:val="22"/>
          <w:lang w:val="es-DO"/>
        </w:rPr>
        <w:t xml:space="preserve"> y luego de recibir las observaciones correspondientes, se analizarán las mismas en las citadas Comisiones conjuntas.</w:t>
      </w:r>
    </w:p>
    <w:p w14:paraId="00DDAE57" w14:textId="77777777" w:rsidR="00CE43FB" w:rsidRPr="00C521CA" w:rsidRDefault="00CE43FB" w:rsidP="00C521CA">
      <w:pPr>
        <w:ind w:left="-340"/>
        <w:jc w:val="both"/>
        <w:rPr>
          <w:rFonts w:ascii="Arial" w:eastAsia="Calibri" w:hAnsi="Arial" w:cs="Arial"/>
          <w:sz w:val="22"/>
          <w:szCs w:val="22"/>
        </w:rPr>
      </w:pPr>
      <w:r w:rsidRPr="00C521CA">
        <w:rPr>
          <w:rFonts w:ascii="Arial" w:hAnsi="Arial" w:cs="Arial"/>
          <w:b/>
          <w:sz w:val="22"/>
          <w:szCs w:val="22"/>
          <w:lang w:eastAsia="es-DO"/>
        </w:rPr>
        <w:t>CONSIDERANDO 13:</w:t>
      </w:r>
      <w:r w:rsidRPr="00C521CA">
        <w:rPr>
          <w:rFonts w:ascii="Arial" w:hAnsi="Arial" w:cs="Arial"/>
          <w:sz w:val="22"/>
          <w:szCs w:val="22"/>
          <w:lang w:eastAsia="es-DO"/>
        </w:rPr>
        <w:t xml:space="preserve"> </w:t>
      </w:r>
      <w:r w:rsidRPr="00C521CA">
        <w:rPr>
          <w:rFonts w:ascii="Arial" w:eastAsia="Calibri" w:hAnsi="Arial" w:cs="Arial"/>
          <w:sz w:val="22"/>
          <w:szCs w:val="22"/>
        </w:rPr>
        <w:t xml:space="preserve">Que el </w:t>
      </w:r>
      <w:r w:rsidRPr="00C521CA">
        <w:rPr>
          <w:rFonts w:ascii="Arial" w:eastAsia="Calibri" w:hAnsi="Arial" w:cs="Arial"/>
          <w:b/>
          <w:sz w:val="22"/>
          <w:szCs w:val="22"/>
        </w:rPr>
        <w:t xml:space="preserve">CNSS </w:t>
      </w:r>
      <w:r w:rsidRPr="00C521CA">
        <w:rPr>
          <w:rFonts w:ascii="Arial" w:eastAsia="Calibri" w:hAnsi="Arial" w:cs="Arial"/>
          <w:sz w:val="22"/>
          <w:szCs w:val="22"/>
        </w:rPr>
        <w:t>tiene a su cargo la dirección y conducción del SDSS; y como tal, es responsable de establecer las políticas, regular el funcionamiento del Sistema y de sus instituciones, garantizar la extensión de cobertura, defender los beneficiarios, así como, velar por el desarrollo institucional, la integralidad de sus programas y el equilibrio financiero del Sistema Dominicano de Seguridad Social.</w:t>
      </w:r>
    </w:p>
    <w:p w14:paraId="5375DDF3" w14:textId="77777777" w:rsidR="00CE43FB" w:rsidRPr="00C521CA" w:rsidRDefault="00CE43FB" w:rsidP="00C521CA">
      <w:pPr>
        <w:ind w:left="-340"/>
        <w:jc w:val="both"/>
        <w:rPr>
          <w:rFonts w:ascii="Arial" w:eastAsia="Calibri" w:hAnsi="Arial" w:cs="Arial"/>
          <w:sz w:val="22"/>
          <w:szCs w:val="22"/>
        </w:rPr>
      </w:pPr>
    </w:p>
    <w:p w14:paraId="6BD0A2C5" w14:textId="77777777" w:rsidR="00CE43FB" w:rsidRPr="00C521CA" w:rsidRDefault="00CE43FB" w:rsidP="00C521CA">
      <w:pPr>
        <w:pStyle w:val="Sinespaciado"/>
        <w:ind w:left="-340"/>
        <w:jc w:val="both"/>
        <w:rPr>
          <w:rFonts w:ascii="Arial" w:hAnsi="Arial" w:cs="Arial"/>
          <w:lang w:val="es-DO"/>
        </w:rPr>
      </w:pPr>
      <w:r w:rsidRPr="00C521CA">
        <w:rPr>
          <w:rFonts w:ascii="Arial" w:hAnsi="Arial" w:cs="Arial"/>
          <w:b/>
          <w:lang w:val="es-DO"/>
        </w:rPr>
        <w:t xml:space="preserve">VISTOS: </w:t>
      </w:r>
      <w:r w:rsidRPr="00C521CA">
        <w:rPr>
          <w:rFonts w:ascii="Arial" w:hAnsi="Arial" w:cs="Arial"/>
          <w:lang w:val="es-DO"/>
        </w:rPr>
        <w:t>La Constitución de la República Dominicana, la Ley 87-01 que crea el Sistema Dominicano de Seguridad Social y sus modificaciones, el Reglamento Interno del CNSS, la</w:t>
      </w:r>
      <w:r w:rsidRPr="00C521CA">
        <w:rPr>
          <w:rFonts w:ascii="Arial" w:eastAsia="Times New Roman" w:hAnsi="Arial" w:cs="Arial"/>
          <w:lang w:eastAsia="es-ES"/>
        </w:rPr>
        <w:t xml:space="preserve"> Ley 200-04 General de Libre Acceso a la Información Pública, la Ley No. 167-21 de Mejora Regulatoria y Simplificación de Trámites y su Reglamento de Aplicación </w:t>
      </w:r>
      <w:r w:rsidRPr="00C521CA">
        <w:rPr>
          <w:rFonts w:ascii="Arial" w:hAnsi="Arial" w:cs="Arial"/>
        </w:rPr>
        <w:t>promulgado a través del Decreto No. 486-22, d/f 24/08/2022;</w:t>
      </w:r>
      <w:r w:rsidRPr="00C521CA">
        <w:rPr>
          <w:rFonts w:ascii="Arial" w:eastAsia="Times New Roman" w:hAnsi="Arial" w:cs="Arial"/>
          <w:lang w:eastAsia="es-ES"/>
        </w:rPr>
        <w:t xml:space="preserve"> </w:t>
      </w:r>
      <w:r w:rsidRPr="00C521CA">
        <w:rPr>
          <w:rFonts w:ascii="Arial" w:hAnsi="Arial" w:cs="Arial"/>
          <w:lang w:val="es-DO"/>
        </w:rPr>
        <w:t xml:space="preserve">la Ley 107-13 sobre los derechos de las personas en sus relaciones con la Administración Pública y de Procedimiento Administrativo, la Ley 397-19, d/f 30/9/2019 y la Ley 13-20, d/f 7/2/2020. </w:t>
      </w:r>
    </w:p>
    <w:p w14:paraId="3E014FA9" w14:textId="77777777" w:rsidR="00CE43FB" w:rsidRPr="00C521CA" w:rsidRDefault="00CE43FB" w:rsidP="00C521CA">
      <w:pPr>
        <w:ind w:left="-340"/>
        <w:jc w:val="both"/>
        <w:rPr>
          <w:rFonts w:ascii="Arial" w:eastAsia="Calibri" w:hAnsi="Arial" w:cs="Arial"/>
          <w:sz w:val="22"/>
          <w:szCs w:val="22"/>
          <w:lang w:val="es-DO"/>
        </w:rPr>
      </w:pPr>
    </w:p>
    <w:p w14:paraId="5359D60B" w14:textId="77777777" w:rsidR="00CE43FB" w:rsidRPr="00C521CA" w:rsidRDefault="00CE43FB" w:rsidP="00C521CA">
      <w:pPr>
        <w:spacing w:after="200"/>
        <w:ind w:left="-340"/>
        <w:jc w:val="both"/>
        <w:rPr>
          <w:rFonts w:ascii="Arial" w:eastAsia="Calibri" w:hAnsi="Arial" w:cs="Arial"/>
          <w:sz w:val="22"/>
          <w:szCs w:val="22"/>
          <w:lang w:val="es-DO"/>
        </w:rPr>
      </w:pPr>
      <w:r w:rsidRPr="00C521CA">
        <w:rPr>
          <w:rFonts w:ascii="Arial" w:eastAsia="Calibri" w:hAnsi="Arial" w:cs="Arial"/>
          <w:sz w:val="22"/>
          <w:szCs w:val="22"/>
          <w:lang w:val="es-DO"/>
        </w:rPr>
        <w:t xml:space="preserve">El </w:t>
      </w:r>
      <w:r w:rsidRPr="00C521CA">
        <w:rPr>
          <w:rFonts w:ascii="Arial" w:eastAsia="Calibri" w:hAnsi="Arial" w:cs="Arial"/>
          <w:b/>
          <w:sz w:val="22"/>
          <w:szCs w:val="22"/>
          <w:lang w:val="es-DO"/>
        </w:rPr>
        <w:t>CONSEJO NACIONAL DE SEGURIDAD SOCIAL (CNSS)</w:t>
      </w:r>
      <w:r w:rsidRPr="00C521CA">
        <w:rPr>
          <w:rFonts w:ascii="Arial" w:eastAsia="Calibri" w:hAnsi="Arial" w:cs="Arial"/>
          <w:sz w:val="22"/>
          <w:szCs w:val="22"/>
          <w:lang w:val="es-DO"/>
        </w:rPr>
        <w:t>, en apego a las funciones y atribuciones que le confieren la Ley 87-01 que crea el Sistema Dominicano de Seguridad Social (SDSS), sus modificaciones y normas complementarias.</w:t>
      </w:r>
    </w:p>
    <w:p w14:paraId="3875410F" w14:textId="77777777" w:rsidR="00CE43FB" w:rsidRPr="00C521CA" w:rsidRDefault="00CE43FB" w:rsidP="00C521CA">
      <w:pPr>
        <w:spacing w:after="200"/>
        <w:ind w:left="-340"/>
        <w:jc w:val="center"/>
        <w:rPr>
          <w:rFonts w:ascii="Arial" w:eastAsia="Calibri" w:hAnsi="Arial" w:cs="Arial"/>
          <w:b/>
          <w:sz w:val="22"/>
          <w:szCs w:val="22"/>
          <w:lang w:val="es-DO"/>
        </w:rPr>
      </w:pPr>
      <w:r w:rsidRPr="00C521CA">
        <w:rPr>
          <w:rFonts w:ascii="Arial" w:eastAsia="Calibri" w:hAnsi="Arial" w:cs="Arial"/>
          <w:b/>
          <w:sz w:val="22"/>
          <w:szCs w:val="22"/>
          <w:lang w:val="es-DO"/>
        </w:rPr>
        <w:t>RESUELVE:</w:t>
      </w:r>
    </w:p>
    <w:p w14:paraId="054DA6DB" w14:textId="77777777" w:rsidR="00CE43FB" w:rsidRPr="00C521CA" w:rsidRDefault="00CE43FB" w:rsidP="00C521CA">
      <w:pPr>
        <w:spacing w:before="100" w:after="100"/>
        <w:ind w:left="-340"/>
        <w:jc w:val="both"/>
        <w:rPr>
          <w:rFonts w:ascii="Arial" w:hAnsi="Arial" w:cs="Arial"/>
          <w:spacing w:val="4"/>
          <w:sz w:val="22"/>
          <w:szCs w:val="22"/>
          <w:lang w:val="es-DO" w:bidi="ne-IN"/>
        </w:rPr>
      </w:pPr>
      <w:r w:rsidRPr="00C521CA">
        <w:rPr>
          <w:rFonts w:ascii="Arial" w:eastAsia="Calibri" w:hAnsi="Arial" w:cs="Arial"/>
          <w:b/>
          <w:sz w:val="22"/>
          <w:szCs w:val="22"/>
          <w:lang w:val="es-DO"/>
        </w:rPr>
        <w:t xml:space="preserve">PRIMERO: </w:t>
      </w:r>
      <w:r w:rsidRPr="00C521CA">
        <w:rPr>
          <w:rFonts w:ascii="Arial" w:hAnsi="Arial" w:cs="Arial"/>
          <w:b/>
          <w:sz w:val="22"/>
          <w:szCs w:val="22"/>
        </w:rPr>
        <w:t>INSTRUIR</w:t>
      </w:r>
      <w:r w:rsidRPr="00C521CA">
        <w:rPr>
          <w:rFonts w:ascii="Arial" w:hAnsi="Arial" w:cs="Arial"/>
          <w:sz w:val="22"/>
          <w:szCs w:val="22"/>
        </w:rPr>
        <w:t xml:space="preserve"> al </w:t>
      </w:r>
      <w:r w:rsidRPr="00C521CA">
        <w:rPr>
          <w:rFonts w:ascii="Arial" w:hAnsi="Arial" w:cs="Arial"/>
          <w:b/>
          <w:sz w:val="22"/>
          <w:szCs w:val="22"/>
        </w:rPr>
        <w:t>Gerente General del CNSS</w:t>
      </w:r>
      <w:r w:rsidRPr="00C521CA">
        <w:rPr>
          <w:rFonts w:ascii="Arial" w:hAnsi="Arial" w:cs="Arial"/>
          <w:sz w:val="22"/>
          <w:szCs w:val="22"/>
        </w:rPr>
        <w:t xml:space="preserve"> a iniciar el proceso de </w:t>
      </w:r>
      <w:r w:rsidRPr="00C521CA">
        <w:rPr>
          <w:rFonts w:ascii="Arial" w:hAnsi="Arial" w:cs="Arial"/>
          <w:b/>
          <w:sz w:val="22"/>
          <w:szCs w:val="22"/>
        </w:rPr>
        <w:t>Consulta Pública</w:t>
      </w:r>
      <w:r w:rsidRPr="00C521CA">
        <w:rPr>
          <w:rFonts w:ascii="Arial" w:hAnsi="Arial" w:cs="Arial"/>
          <w:sz w:val="22"/>
          <w:szCs w:val="22"/>
        </w:rPr>
        <w:t xml:space="preserve"> del borrador de propuesta </w:t>
      </w:r>
      <w:r w:rsidRPr="00C521CA">
        <w:rPr>
          <w:rFonts w:ascii="Arial" w:hAnsi="Arial" w:cs="Arial"/>
          <w:sz w:val="22"/>
          <w:szCs w:val="22"/>
          <w:lang w:val="es-DO"/>
        </w:rPr>
        <w:t xml:space="preserve">de </w:t>
      </w:r>
      <w:r w:rsidRPr="00C521CA">
        <w:rPr>
          <w:rFonts w:ascii="Arial" w:hAnsi="Arial" w:cs="Arial"/>
          <w:b/>
          <w:color w:val="000000"/>
          <w:sz w:val="22"/>
          <w:szCs w:val="22"/>
          <w:lang w:val="es-MX" w:eastAsia="es-DO"/>
        </w:rPr>
        <w:t>Normativa Interna que define el ámbito de actuación de la Comisión Técnica de la Discapacidad para el Seguro de Riesgos Laborales (CTD-SRL) del SDSS,</w:t>
      </w:r>
      <w:r w:rsidRPr="00C521CA">
        <w:rPr>
          <w:rFonts w:ascii="Arial" w:hAnsi="Arial" w:cs="Arial"/>
          <w:sz w:val="22"/>
          <w:szCs w:val="22"/>
        </w:rPr>
        <w:t xml:space="preserve"> a los fines de ser publicado en un periódico de circulación nacional, en apego a las disposiciones de los artículos 23 y siguientes de la </w:t>
      </w:r>
      <w:r w:rsidRPr="00C521CA">
        <w:rPr>
          <w:rFonts w:ascii="Arial" w:hAnsi="Arial" w:cs="Arial"/>
          <w:b/>
          <w:sz w:val="22"/>
          <w:szCs w:val="22"/>
        </w:rPr>
        <w:t xml:space="preserve">Ley 200-04 General de Libre Acceso a la Información Pública, </w:t>
      </w:r>
      <w:r w:rsidRPr="00C521CA">
        <w:rPr>
          <w:rFonts w:ascii="Arial" w:hAnsi="Arial" w:cs="Arial"/>
          <w:sz w:val="22"/>
          <w:szCs w:val="22"/>
        </w:rPr>
        <w:t xml:space="preserve">artículo 23 de la </w:t>
      </w:r>
      <w:r w:rsidRPr="00C521CA">
        <w:rPr>
          <w:rFonts w:ascii="Arial" w:eastAsia="Calibri" w:hAnsi="Arial" w:cs="Arial"/>
          <w:b/>
          <w:sz w:val="22"/>
          <w:szCs w:val="22"/>
        </w:rPr>
        <w:t>Ley No. 167-21 de Mejora Regulatoria y Simplificación de Trámites</w:t>
      </w:r>
      <w:r w:rsidRPr="00C521CA">
        <w:rPr>
          <w:rFonts w:ascii="Arial" w:eastAsia="Calibri" w:hAnsi="Arial" w:cs="Arial"/>
          <w:sz w:val="22"/>
          <w:szCs w:val="22"/>
        </w:rPr>
        <w:t xml:space="preserve">, y </w:t>
      </w:r>
      <w:r w:rsidRPr="00C521CA">
        <w:rPr>
          <w:rFonts w:ascii="Arial" w:hAnsi="Arial" w:cs="Arial"/>
          <w:sz w:val="22"/>
          <w:szCs w:val="22"/>
        </w:rPr>
        <w:t xml:space="preserve">artículo 33 de su </w:t>
      </w:r>
      <w:r w:rsidRPr="00C521CA">
        <w:rPr>
          <w:rFonts w:ascii="Arial" w:hAnsi="Arial" w:cs="Arial"/>
          <w:b/>
          <w:sz w:val="22"/>
          <w:szCs w:val="22"/>
        </w:rPr>
        <w:t>Reglamento de Aplicación</w:t>
      </w:r>
      <w:r w:rsidRPr="00C521CA">
        <w:rPr>
          <w:rFonts w:ascii="Arial" w:hAnsi="Arial" w:cs="Arial"/>
          <w:sz w:val="22"/>
          <w:szCs w:val="22"/>
        </w:rPr>
        <w:t xml:space="preserve">, así como, los artículos 6 y 7 del </w:t>
      </w:r>
      <w:r w:rsidRPr="00C521CA">
        <w:rPr>
          <w:rFonts w:ascii="Arial" w:hAnsi="Arial" w:cs="Arial"/>
          <w:b/>
          <w:sz w:val="22"/>
          <w:szCs w:val="22"/>
        </w:rPr>
        <w:t>Reglamento Interno del CNSS. (Ver normativa anexa).</w:t>
      </w:r>
    </w:p>
    <w:p w14:paraId="0F06E133" w14:textId="77777777" w:rsidR="00CE43FB" w:rsidRPr="00C521CA" w:rsidRDefault="00CE43FB" w:rsidP="00C521CA">
      <w:pPr>
        <w:ind w:left="-340"/>
        <w:jc w:val="both"/>
        <w:rPr>
          <w:rFonts w:ascii="Arial" w:hAnsi="Arial" w:cs="Arial"/>
          <w:b/>
          <w:sz w:val="22"/>
          <w:szCs w:val="22"/>
        </w:rPr>
      </w:pPr>
    </w:p>
    <w:p w14:paraId="15FA1980" w14:textId="77777777" w:rsidR="00CE43FB" w:rsidRPr="00C521CA" w:rsidRDefault="00CE43FB" w:rsidP="00C521CA">
      <w:pPr>
        <w:ind w:left="-340"/>
        <w:jc w:val="both"/>
        <w:rPr>
          <w:rFonts w:ascii="Arial" w:hAnsi="Arial" w:cs="Arial"/>
          <w:sz w:val="22"/>
          <w:szCs w:val="22"/>
        </w:rPr>
      </w:pPr>
      <w:r w:rsidRPr="00C521CA">
        <w:rPr>
          <w:rFonts w:ascii="Arial" w:hAnsi="Arial" w:cs="Arial"/>
          <w:b/>
          <w:sz w:val="22"/>
          <w:szCs w:val="22"/>
        </w:rPr>
        <w:t>SEGUNDO:</w:t>
      </w:r>
      <w:r w:rsidRPr="00C521CA">
        <w:rPr>
          <w:rFonts w:ascii="Arial" w:hAnsi="Arial" w:cs="Arial"/>
          <w:sz w:val="22"/>
          <w:szCs w:val="22"/>
        </w:rPr>
        <w:t xml:space="preserve"> Luego de culminado el proceso de Consulta Pública, las observaciones realizadas a la propuesta de </w:t>
      </w:r>
      <w:r w:rsidRPr="00C521CA">
        <w:rPr>
          <w:rFonts w:ascii="Arial" w:hAnsi="Arial" w:cs="Arial"/>
          <w:b/>
          <w:color w:val="000000"/>
          <w:sz w:val="22"/>
          <w:szCs w:val="22"/>
          <w:lang w:val="es-MX" w:eastAsia="es-DO"/>
        </w:rPr>
        <w:t>Normativa Interna que define el ámbito de actuación de la Comisión Técnica de la Discapacidad para el Seguro de Riesgos Laborales (CTD-SRL) del SDSS,</w:t>
      </w:r>
      <w:r w:rsidRPr="00C521CA">
        <w:rPr>
          <w:rFonts w:ascii="Arial" w:hAnsi="Arial" w:cs="Arial"/>
          <w:sz w:val="22"/>
          <w:szCs w:val="22"/>
        </w:rPr>
        <w:t xml:space="preserve"> serán remitidas a los miembros de las </w:t>
      </w:r>
      <w:r w:rsidRPr="00C521CA">
        <w:rPr>
          <w:rFonts w:ascii="Arial" w:eastAsia="Calibri" w:hAnsi="Arial" w:cs="Arial"/>
          <w:b/>
          <w:sz w:val="22"/>
          <w:szCs w:val="22"/>
          <w:lang w:val="es-DO"/>
        </w:rPr>
        <w:t>Comisiones Permanentes de Riesgos Laborales (CPRL) y de Reglamentos (CPR),</w:t>
      </w:r>
      <w:r w:rsidRPr="00C521CA">
        <w:rPr>
          <w:rFonts w:ascii="Arial" w:hAnsi="Arial" w:cs="Arial"/>
          <w:sz w:val="22"/>
          <w:szCs w:val="22"/>
        </w:rPr>
        <w:t xml:space="preserve"> para fines de análisis y estudio. Las Comisiones de manera conjunta deberán presentar un Informe al </w:t>
      </w:r>
      <w:r w:rsidRPr="00C521CA">
        <w:rPr>
          <w:rFonts w:ascii="Arial" w:hAnsi="Arial" w:cs="Arial"/>
          <w:b/>
          <w:sz w:val="22"/>
          <w:szCs w:val="22"/>
        </w:rPr>
        <w:t>CNSS</w:t>
      </w:r>
      <w:r w:rsidRPr="00C521CA">
        <w:rPr>
          <w:rFonts w:ascii="Arial" w:hAnsi="Arial" w:cs="Arial"/>
          <w:sz w:val="22"/>
          <w:szCs w:val="22"/>
        </w:rPr>
        <w:t>.</w:t>
      </w:r>
    </w:p>
    <w:p w14:paraId="36B11147" w14:textId="77777777" w:rsidR="00CE43FB" w:rsidRPr="00C521CA" w:rsidRDefault="00CE43FB" w:rsidP="00C521CA">
      <w:pPr>
        <w:ind w:left="-340"/>
        <w:jc w:val="both"/>
        <w:rPr>
          <w:rFonts w:ascii="Arial" w:hAnsi="Arial" w:cs="Arial"/>
          <w:sz w:val="22"/>
          <w:szCs w:val="22"/>
        </w:rPr>
      </w:pPr>
    </w:p>
    <w:p w14:paraId="41F09919" w14:textId="77777777" w:rsidR="00CE43FB" w:rsidRPr="00C521CA" w:rsidRDefault="00CE43FB" w:rsidP="00C521CA">
      <w:pPr>
        <w:spacing w:after="200"/>
        <w:ind w:left="-340"/>
        <w:contextualSpacing/>
        <w:jc w:val="both"/>
        <w:rPr>
          <w:rFonts w:ascii="Arial" w:eastAsia="Calibri" w:hAnsi="Arial" w:cs="Arial"/>
          <w:sz w:val="22"/>
          <w:szCs w:val="22"/>
          <w:lang w:val="es-DO"/>
        </w:rPr>
      </w:pPr>
      <w:r w:rsidRPr="00C521CA">
        <w:rPr>
          <w:rFonts w:ascii="Arial" w:eastAsia="Calibri" w:hAnsi="Arial" w:cs="Arial"/>
          <w:b/>
          <w:sz w:val="22"/>
          <w:szCs w:val="22"/>
          <w:lang w:val="es-DO"/>
        </w:rPr>
        <w:t>TERCERO:</w:t>
      </w:r>
      <w:r w:rsidRPr="00C521CA">
        <w:rPr>
          <w:rFonts w:ascii="Arial" w:eastAsia="Calibri" w:hAnsi="Arial" w:cs="Arial"/>
          <w:sz w:val="22"/>
          <w:szCs w:val="22"/>
          <w:lang w:val="es-DO"/>
        </w:rPr>
        <w:t xml:space="preserve"> </w:t>
      </w:r>
      <w:r w:rsidRPr="00C521CA">
        <w:rPr>
          <w:rFonts w:ascii="Arial" w:eastAsia="Calibri" w:hAnsi="Arial" w:cs="Arial"/>
          <w:b/>
          <w:sz w:val="22"/>
          <w:szCs w:val="22"/>
          <w:lang w:val="es-DO"/>
        </w:rPr>
        <w:t>INSTRUIR</w:t>
      </w:r>
      <w:r w:rsidRPr="00C521CA">
        <w:rPr>
          <w:rFonts w:ascii="Arial" w:eastAsia="Calibri" w:hAnsi="Arial" w:cs="Arial"/>
          <w:sz w:val="22"/>
          <w:szCs w:val="22"/>
          <w:lang w:val="es-DO"/>
        </w:rPr>
        <w:t xml:space="preserve"> al </w:t>
      </w:r>
      <w:r w:rsidRPr="00C521CA">
        <w:rPr>
          <w:rFonts w:ascii="Arial" w:eastAsia="Calibri" w:hAnsi="Arial" w:cs="Arial"/>
          <w:b/>
          <w:sz w:val="22"/>
          <w:szCs w:val="22"/>
          <w:lang w:val="es-DO"/>
        </w:rPr>
        <w:t>Gerente General del CNSS</w:t>
      </w:r>
      <w:r w:rsidRPr="00C521CA">
        <w:rPr>
          <w:rFonts w:ascii="Arial" w:eastAsia="Calibri" w:hAnsi="Arial" w:cs="Arial"/>
          <w:sz w:val="22"/>
          <w:szCs w:val="22"/>
          <w:lang w:val="es-DO"/>
        </w:rPr>
        <w:t xml:space="preserve"> a notificar la presente resolución a la </w:t>
      </w:r>
      <w:r w:rsidRPr="00C521CA">
        <w:rPr>
          <w:rFonts w:ascii="Arial" w:eastAsia="Calibri" w:hAnsi="Arial" w:cs="Arial"/>
          <w:b/>
          <w:sz w:val="22"/>
          <w:szCs w:val="22"/>
          <w:lang w:val="es-DO"/>
        </w:rPr>
        <w:t>SISALRIL, IDOPPRIL</w:t>
      </w:r>
      <w:r w:rsidRPr="00C521CA">
        <w:rPr>
          <w:rFonts w:ascii="Arial" w:eastAsia="Calibri" w:hAnsi="Arial" w:cs="Arial"/>
          <w:sz w:val="22"/>
          <w:szCs w:val="22"/>
          <w:lang w:val="es-DO"/>
        </w:rPr>
        <w:t xml:space="preserve"> y a las demás instituciones del SDSS.</w:t>
      </w:r>
    </w:p>
    <w:p w14:paraId="462E38C9" w14:textId="77777777" w:rsidR="00CE43FB" w:rsidRPr="00C521CA" w:rsidRDefault="00CE43FB" w:rsidP="00C521CA">
      <w:pPr>
        <w:spacing w:after="200"/>
        <w:ind w:left="-340"/>
        <w:contextualSpacing/>
        <w:jc w:val="both"/>
        <w:rPr>
          <w:rFonts w:ascii="Arial" w:eastAsia="Calibri" w:hAnsi="Arial" w:cs="Arial"/>
          <w:sz w:val="22"/>
          <w:szCs w:val="22"/>
          <w:lang w:val="es-DO"/>
        </w:rPr>
      </w:pPr>
    </w:p>
    <w:p w14:paraId="764555A7" w14:textId="77777777" w:rsidR="00CE43FB" w:rsidRPr="00C521CA" w:rsidRDefault="00CE43FB" w:rsidP="00C521CA">
      <w:pPr>
        <w:autoSpaceDE w:val="0"/>
        <w:autoSpaceDN w:val="0"/>
        <w:adjustRightInd w:val="0"/>
        <w:ind w:left="-340"/>
        <w:jc w:val="center"/>
        <w:rPr>
          <w:rFonts w:ascii="Arial" w:hAnsi="Arial" w:cs="Arial"/>
          <w:b/>
          <w:bCs/>
          <w:sz w:val="22"/>
          <w:szCs w:val="22"/>
          <w:lang w:val="es-DO"/>
        </w:rPr>
      </w:pPr>
      <w:r w:rsidRPr="00C521CA">
        <w:rPr>
          <w:rFonts w:ascii="Arial" w:hAnsi="Arial" w:cs="Arial"/>
          <w:b/>
          <w:bCs/>
          <w:sz w:val="22"/>
          <w:szCs w:val="22"/>
          <w:u w:val="single"/>
          <w:lang w:val="es-DO"/>
        </w:rPr>
        <w:t>Anexo de la Resolución</w:t>
      </w:r>
      <w:r w:rsidRPr="00C521CA">
        <w:rPr>
          <w:rFonts w:ascii="Arial" w:hAnsi="Arial" w:cs="Arial"/>
          <w:b/>
          <w:bCs/>
          <w:sz w:val="22"/>
          <w:szCs w:val="22"/>
          <w:lang w:val="es-DO"/>
        </w:rPr>
        <w:t>.</w:t>
      </w:r>
    </w:p>
    <w:p w14:paraId="5CF3D151" w14:textId="77777777" w:rsidR="00CE43FB" w:rsidRPr="00C521CA" w:rsidRDefault="00CE43FB" w:rsidP="00C521CA">
      <w:pPr>
        <w:spacing w:after="200"/>
        <w:ind w:left="-340"/>
        <w:contextualSpacing/>
        <w:jc w:val="both"/>
        <w:rPr>
          <w:rFonts w:ascii="Arial" w:eastAsia="Calibri" w:hAnsi="Arial" w:cs="Arial"/>
          <w:sz w:val="22"/>
          <w:szCs w:val="22"/>
          <w:lang w:val="es-DO"/>
        </w:rPr>
      </w:pPr>
    </w:p>
    <w:p w14:paraId="10B1EEC4" w14:textId="77777777" w:rsidR="00CE43FB" w:rsidRPr="00C521CA" w:rsidRDefault="00CE43FB" w:rsidP="00C521CA">
      <w:pPr>
        <w:spacing w:before="100" w:beforeAutospacing="1" w:after="100" w:afterAutospacing="1"/>
        <w:ind w:left="-340"/>
        <w:jc w:val="center"/>
        <w:rPr>
          <w:rFonts w:ascii="Arial" w:hAnsi="Arial" w:cs="Arial"/>
          <w:b/>
          <w:color w:val="000000"/>
          <w:sz w:val="22"/>
          <w:szCs w:val="22"/>
          <w:u w:val="single"/>
          <w:lang w:eastAsia="es-DO"/>
        </w:rPr>
      </w:pPr>
      <w:r w:rsidRPr="00C521CA">
        <w:rPr>
          <w:rFonts w:ascii="Arial" w:eastAsia="MS Mincho" w:hAnsi="Arial" w:cs="Arial"/>
          <w:b/>
          <w:sz w:val="22"/>
          <w:szCs w:val="22"/>
          <w:u w:val="single"/>
        </w:rPr>
        <w:t xml:space="preserve">Propuesta de </w:t>
      </w:r>
      <w:r w:rsidRPr="00C521CA">
        <w:rPr>
          <w:rFonts w:ascii="Arial" w:hAnsi="Arial" w:cs="Arial"/>
          <w:b/>
          <w:color w:val="000000"/>
          <w:sz w:val="22"/>
          <w:szCs w:val="22"/>
          <w:u w:val="single"/>
          <w:lang w:val="es-MX" w:eastAsia="es-DO"/>
        </w:rPr>
        <w:t>Normativa Interna que define el ámbito de actuación de la Comisión Técnica de la Discapacidad para el Seguro de Riesgos Laborales (CTD-SRL) del SDSS.</w:t>
      </w:r>
    </w:p>
    <w:p w14:paraId="280954ED" w14:textId="77777777" w:rsidR="008F3510" w:rsidRDefault="008F3510" w:rsidP="00CE43FB">
      <w:pPr>
        <w:pStyle w:val="Sinespaciado"/>
        <w:jc w:val="both"/>
        <w:rPr>
          <w:rFonts w:ascii="Arial" w:hAnsi="Arial" w:cs="Arial"/>
          <w:bCs/>
        </w:rPr>
      </w:pPr>
    </w:p>
    <w:p w14:paraId="069F55AF" w14:textId="77777777" w:rsidR="008F3510" w:rsidRDefault="008F3510" w:rsidP="00CE43FB">
      <w:pPr>
        <w:pStyle w:val="Sinespaciado"/>
        <w:jc w:val="both"/>
        <w:rPr>
          <w:rFonts w:ascii="Arial" w:hAnsi="Arial" w:cs="Arial"/>
          <w:bCs/>
        </w:rPr>
      </w:pPr>
    </w:p>
    <w:p w14:paraId="40A2A9FF" w14:textId="77777777" w:rsidR="008F3510" w:rsidRDefault="008F3510" w:rsidP="00CE43FB">
      <w:pPr>
        <w:pStyle w:val="Sinespaciado"/>
        <w:jc w:val="both"/>
        <w:rPr>
          <w:rFonts w:ascii="Arial" w:hAnsi="Arial" w:cs="Arial"/>
          <w:bCs/>
        </w:rPr>
      </w:pPr>
    </w:p>
    <w:p w14:paraId="23CBD319" w14:textId="77777777" w:rsidR="008F3510" w:rsidRDefault="008F3510" w:rsidP="00CE43FB">
      <w:pPr>
        <w:pStyle w:val="Sinespaciado"/>
        <w:jc w:val="both"/>
        <w:rPr>
          <w:rFonts w:ascii="Arial" w:hAnsi="Arial" w:cs="Arial"/>
          <w:bCs/>
        </w:rPr>
      </w:pPr>
    </w:p>
    <w:p w14:paraId="2F08665B" w14:textId="33B0E19B" w:rsidR="00CE43FB" w:rsidRPr="00C521CA" w:rsidRDefault="00CE43FB" w:rsidP="00CE43FB">
      <w:pPr>
        <w:pStyle w:val="Sinespaciado"/>
        <w:jc w:val="both"/>
        <w:rPr>
          <w:rFonts w:ascii="Arial" w:hAnsi="Arial" w:cs="Arial"/>
          <w:b/>
        </w:rPr>
      </w:pPr>
      <w:r w:rsidRPr="00C521CA">
        <w:rPr>
          <w:rFonts w:ascii="Arial" w:hAnsi="Arial" w:cs="Arial"/>
          <w:bCs/>
        </w:rPr>
        <w:t xml:space="preserve">                        </w:t>
      </w:r>
      <w:r w:rsidRPr="00C521CA">
        <w:rPr>
          <w:rFonts w:ascii="Arial" w:hAnsi="Arial" w:cs="Arial"/>
          <w:b/>
        </w:rPr>
        <w:t xml:space="preserve"> SIGLAS</w:t>
      </w:r>
    </w:p>
    <w:p w14:paraId="704B7457" w14:textId="77777777" w:rsidR="00CE43FB" w:rsidRPr="00C521CA" w:rsidRDefault="00CE43FB" w:rsidP="00CE43FB">
      <w:pPr>
        <w:pStyle w:val="Sinespaciado"/>
        <w:jc w:val="both"/>
        <w:rPr>
          <w:rFonts w:ascii="Arial" w:hAnsi="Arial" w:cs="Arial"/>
          <w:bCs/>
        </w:rPr>
      </w:pPr>
    </w:p>
    <w:p w14:paraId="19BB3228" w14:textId="77777777" w:rsidR="00CE43FB" w:rsidRPr="00C521CA" w:rsidRDefault="00CE43FB" w:rsidP="00CE43FB">
      <w:pPr>
        <w:pStyle w:val="Sinespaciado"/>
        <w:jc w:val="both"/>
        <w:rPr>
          <w:rFonts w:ascii="Arial" w:hAnsi="Arial" w:cs="Arial"/>
          <w:bCs/>
        </w:rPr>
      </w:pPr>
    </w:p>
    <w:p w14:paraId="3D7FE872"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CMD:  </w:t>
      </w:r>
      <w:r w:rsidRPr="00C521CA">
        <w:rPr>
          <w:rFonts w:ascii="Arial" w:hAnsi="Arial" w:cs="Arial"/>
          <w:bCs/>
        </w:rPr>
        <w:tab/>
        <w:t xml:space="preserve">          Colegio Médico Dominicano</w:t>
      </w:r>
    </w:p>
    <w:p w14:paraId="6F0534EE"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CMN: </w:t>
      </w:r>
      <w:r w:rsidRPr="00C521CA">
        <w:rPr>
          <w:rFonts w:ascii="Arial" w:hAnsi="Arial" w:cs="Arial"/>
          <w:bCs/>
        </w:rPr>
        <w:tab/>
      </w:r>
      <w:r w:rsidRPr="00C521CA">
        <w:rPr>
          <w:rFonts w:ascii="Arial" w:hAnsi="Arial" w:cs="Arial"/>
          <w:bCs/>
        </w:rPr>
        <w:tab/>
        <w:t xml:space="preserve">          Comisión Médica Nacional</w:t>
      </w:r>
    </w:p>
    <w:p w14:paraId="35CC6E4C"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CODOPENF:</w:t>
      </w:r>
      <w:r w:rsidRPr="00C521CA">
        <w:rPr>
          <w:rFonts w:ascii="Arial" w:hAnsi="Arial" w:cs="Arial"/>
          <w:bCs/>
        </w:rPr>
        <w:tab/>
        <w:t xml:space="preserve">          Colegio Dominicano de Profesionales de Enfermería</w:t>
      </w:r>
    </w:p>
    <w:p w14:paraId="7EB0195F"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CONADIS:              Consejo Nacional de la Discapacidad</w:t>
      </w:r>
    </w:p>
    <w:p w14:paraId="44CA4174" w14:textId="77777777" w:rsidR="00CE43FB" w:rsidRPr="00C521CA" w:rsidRDefault="00CE43FB" w:rsidP="00CE43FB">
      <w:pPr>
        <w:pStyle w:val="Sinespaciado"/>
        <w:ind w:left="2790" w:hanging="1374"/>
        <w:jc w:val="both"/>
        <w:rPr>
          <w:rFonts w:ascii="Arial" w:hAnsi="Arial" w:cs="Arial"/>
          <w:bCs/>
        </w:rPr>
      </w:pPr>
      <w:r w:rsidRPr="00C521CA">
        <w:rPr>
          <w:rFonts w:ascii="Arial" w:hAnsi="Arial" w:cs="Arial"/>
          <w:bCs/>
        </w:rPr>
        <w:t xml:space="preserve">CTD-SRL: </w:t>
      </w:r>
      <w:r w:rsidRPr="00C521CA">
        <w:rPr>
          <w:rFonts w:ascii="Arial" w:hAnsi="Arial" w:cs="Arial"/>
          <w:bCs/>
        </w:rPr>
        <w:tab/>
        <w:t xml:space="preserve">           Comisión Técnica de la Discapacidad para el Seguro</w:t>
      </w:r>
    </w:p>
    <w:p w14:paraId="1E3DE75E" w14:textId="77777777" w:rsidR="00CE43FB" w:rsidRPr="00C521CA" w:rsidRDefault="00CE43FB" w:rsidP="00CE43FB">
      <w:pPr>
        <w:pStyle w:val="Sinespaciado"/>
        <w:ind w:left="2790" w:hanging="1374"/>
        <w:jc w:val="both"/>
        <w:rPr>
          <w:rFonts w:ascii="Arial" w:hAnsi="Arial" w:cs="Arial"/>
          <w:bCs/>
        </w:rPr>
      </w:pPr>
      <w:r w:rsidRPr="00C521CA">
        <w:rPr>
          <w:rFonts w:ascii="Arial" w:hAnsi="Arial" w:cs="Arial"/>
          <w:bCs/>
        </w:rPr>
        <w:t xml:space="preserve">                                de    Riesgos Laborales</w:t>
      </w:r>
    </w:p>
    <w:p w14:paraId="47E1CE06"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DIDA: </w:t>
      </w:r>
      <w:r w:rsidRPr="00C521CA">
        <w:rPr>
          <w:rFonts w:ascii="Arial" w:hAnsi="Arial" w:cs="Arial"/>
          <w:bCs/>
        </w:rPr>
        <w:tab/>
        <w:t xml:space="preserve">                     Dirección General de Información y Defensa de los </w:t>
      </w:r>
    </w:p>
    <w:p w14:paraId="3CA9A3F5"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                                Afiliados </w:t>
      </w:r>
    </w:p>
    <w:p w14:paraId="5303B76F" w14:textId="77777777" w:rsidR="00CE43FB" w:rsidRPr="00C521CA" w:rsidRDefault="00CE43FB" w:rsidP="00CE43FB">
      <w:pPr>
        <w:pStyle w:val="Sinespaciado"/>
        <w:ind w:left="2790" w:hanging="1374"/>
        <w:jc w:val="both"/>
        <w:rPr>
          <w:rFonts w:ascii="Arial" w:hAnsi="Arial" w:cs="Arial"/>
          <w:bCs/>
        </w:rPr>
      </w:pPr>
      <w:r w:rsidRPr="00C521CA">
        <w:rPr>
          <w:rFonts w:ascii="Arial" w:hAnsi="Arial" w:cs="Arial"/>
          <w:bCs/>
        </w:rPr>
        <w:t xml:space="preserve">IDOPPRIL:             Instituto </w:t>
      </w:r>
      <w:bookmarkStart w:id="0" w:name="_Hlk179880711"/>
      <w:r w:rsidRPr="00C521CA">
        <w:rPr>
          <w:rFonts w:ascii="Arial" w:hAnsi="Arial" w:cs="Arial"/>
          <w:bCs/>
        </w:rPr>
        <w:t xml:space="preserve">Dominicano de Prevención y Protección de </w:t>
      </w:r>
    </w:p>
    <w:p w14:paraId="50A0F776" w14:textId="77777777" w:rsidR="00CE43FB" w:rsidRPr="00C521CA" w:rsidRDefault="00CE43FB" w:rsidP="00CE43FB">
      <w:pPr>
        <w:pStyle w:val="Sinespaciado"/>
        <w:ind w:left="2790" w:hanging="1374"/>
        <w:jc w:val="both"/>
        <w:rPr>
          <w:rFonts w:ascii="Arial" w:hAnsi="Arial" w:cs="Arial"/>
          <w:bCs/>
        </w:rPr>
      </w:pPr>
      <w:r w:rsidRPr="00C521CA">
        <w:rPr>
          <w:rFonts w:ascii="Arial" w:hAnsi="Arial" w:cs="Arial"/>
          <w:bCs/>
        </w:rPr>
        <w:t xml:space="preserve">                               Riesgos Laborales</w:t>
      </w:r>
      <w:bookmarkEnd w:id="0"/>
    </w:p>
    <w:p w14:paraId="4A425769"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SISALRIL:  </w:t>
      </w:r>
      <w:r w:rsidRPr="00C521CA">
        <w:rPr>
          <w:rFonts w:ascii="Arial" w:hAnsi="Arial" w:cs="Arial"/>
          <w:bCs/>
        </w:rPr>
        <w:tab/>
        <w:t xml:space="preserve">         Superintendencia de Salud y Riesgos Laborales</w:t>
      </w:r>
    </w:p>
    <w:p w14:paraId="6E204669"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SODOMFI: </w:t>
      </w:r>
      <w:r w:rsidRPr="00C521CA">
        <w:rPr>
          <w:rFonts w:ascii="Arial" w:hAnsi="Arial" w:cs="Arial"/>
          <w:bCs/>
        </w:rPr>
        <w:tab/>
        <w:t xml:space="preserve">         Sociedad Dominicana de Fisiatría</w:t>
      </w:r>
    </w:p>
    <w:p w14:paraId="673A203B"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SRL: </w:t>
      </w:r>
      <w:r w:rsidRPr="00C521CA">
        <w:rPr>
          <w:rFonts w:ascii="Arial" w:hAnsi="Arial" w:cs="Arial"/>
          <w:bCs/>
        </w:rPr>
        <w:tab/>
      </w:r>
      <w:r w:rsidRPr="00C521CA">
        <w:rPr>
          <w:rFonts w:ascii="Arial" w:hAnsi="Arial" w:cs="Arial"/>
          <w:bCs/>
        </w:rPr>
        <w:tab/>
        <w:t xml:space="preserve">    Seguro de Riesgos Laborales</w:t>
      </w:r>
    </w:p>
    <w:p w14:paraId="3BF35B77"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CNSS:               Consejo Nacional de Seguridad Social</w:t>
      </w:r>
    </w:p>
    <w:p w14:paraId="0208AA84"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SDSS: </w:t>
      </w:r>
      <w:r w:rsidRPr="00C521CA">
        <w:rPr>
          <w:rFonts w:ascii="Arial" w:hAnsi="Arial" w:cs="Arial"/>
          <w:bCs/>
        </w:rPr>
        <w:tab/>
        <w:t xml:space="preserve">    Sistema Dominicano de Seguridad Social</w:t>
      </w:r>
    </w:p>
    <w:p w14:paraId="21824BF8"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SVDS:               Seguro de Vejez, Discapacidad y Sobrevivencia</w:t>
      </w:r>
    </w:p>
    <w:p w14:paraId="1EA91D8C"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MECAD:            Manual de Evaluación y Calificación de la Discapacidad</w:t>
      </w:r>
    </w:p>
    <w:p w14:paraId="58DF5408"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CT-CTD:           Coordinación Técnica de la CTD </w:t>
      </w:r>
    </w:p>
    <w:p w14:paraId="0AA79E63" w14:textId="77777777" w:rsidR="00CE43FB" w:rsidRPr="00C521CA" w:rsidRDefault="00CE43FB" w:rsidP="00CE43FB">
      <w:pPr>
        <w:pStyle w:val="Sinespaciado"/>
        <w:ind w:left="1416"/>
        <w:jc w:val="both"/>
        <w:rPr>
          <w:rFonts w:ascii="Arial" w:hAnsi="Arial" w:cs="Arial"/>
          <w:bCs/>
        </w:rPr>
      </w:pPr>
    </w:p>
    <w:p w14:paraId="5B73E985" w14:textId="77777777" w:rsidR="00CE43FB" w:rsidRPr="00C521CA" w:rsidRDefault="00CE43FB" w:rsidP="00CE43FB">
      <w:pPr>
        <w:pStyle w:val="Sinespaciado"/>
        <w:jc w:val="both"/>
        <w:rPr>
          <w:rFonts w:ascii="Arial" w:hAnsi="Arial" w:cs="Arial"/>
          <w:bCs/>
        </w:rPr>
      </w:pPr>
    </w:p>
    <w:p w14:paraId="08D27DF1" w14:textId="77777777" w:rsidR="00CE43FB" w:rsidRPr="00C521CA" w:rsidRDefault="00CE43FB" w:rsidP="00CE43FB">
      <w:pPr>
        <w:pStyle w:val="Sinespaciado"/>
        <w:jc w:val="center"/>
        <w:rPr>
          <w:rFonts w:ascii="Arial" w:hAnsi="Arial" w:cs="Arial"/>
          <w:bCs/>
        </w:rPr>
      </w:pPr>
      <w:r w:rsidRPr="00C521CA">
        <w:rPr>
          <w:rFonts w:ascii="Arial" w:hAnsi="Arial" w:cs="Arial"/>
          <w:bCs/>
        </w:rPr>
        <w:t xml:space="preserve">CAPÍTULO I.- </w:t>
      </w:r>
      <w:r w:rsidRPr="00C521CA">
        <w:rPr>
          <w:rFonts w:ascii="Arial" w:hAnsi="Arial" w:cs="Arial"/>
          <w:b/>
        </w:rPr>
        <w:t>Definiciones</w:t>
      </w:r>
    </w:p>
    <w:p w14:paraId="0E364C3D" w14:textId="77777777" w:rsidR="00CE43FB" w:rsidRPr="00C521CA" w:rsidRDefault="00CE43FB" w:rsidP="00CE43FB">
      <w:pPr>
        <w:pStyle w:val="Sinespaciado"/>
        <w:jc w:val="both"/>
        <w:rPr>
          <w:rFonts w:ascii="Arial" w:hAnsi="Arial" w:cs="Arial"/>
          <w:bCs/>
        </w:rPr>
      </w:pPr>
    </w:p>
    <w:p w14:paraId="541770CA"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 xml:space="preserve">Baremo médico: </w:t>
      </w:r>
      <w:r w:rsidRPr="00C521CA">
        <w:rPr>
          <w:rFonts w:ascii="Arial" w:hAnsi="Arial" w:cs="Arial"/>
        </w:rPr>
        <w:t>Es una tabla o conjunto de tablas de cálculos y normas que establecen un conjunto de criterios para medir o evaluar el alcance de un daño de manera estandarizada.</w:t>
      </w:r>
    </w:p>
    <w:p w14:paraId="224ECACE" w14:textId="77777777" w:rsidR="00CE43FB" w:rsidRPr="00C521CA" w:rsidRDefault="00CE43FB" w:rsidP="00C521CA">
      <w:pPr>
        <w:pStyle w:val="Sinespaciado"/>
        <w:ind w:left="-340"/>
        <w:jc w:val="both"/>
        <w:rPr>
          <w:rFonts w:ascii="Arial" w:hAnsi="Arial" w:cs="Arial"/>
          <w:bCs/>
        </w:rPr>
      </w:pPr>
    </w:p>
    <w:p w14:paraId="43C6F702"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Baremo económico:</w:t>
      </w:r>
      <w:r w:rsidRPr="00C521CA">
        <w:rPr>
          <w:rFonts w:ascii="Arial" w:hAnsi="Arial" w:cs="Arial"/>
          <w:bCs/>
        </w:rPr>
        <w:t xml:space="preserve"> Es una tabla o conjunto de tablas, normas o criterios que sirven para determinar una prestación o beneficio económico.</w:t>
      </w:r>
    </w:p>
    <w:p w14:paraId="42FEEE14" w14:textId="77777777" w:rsidR="00CE43FB" w:rsidRPr="00C521CA" w:rsidRDefault="00CE43FB" w:rsidP="00C521CA">
      <w:pPr>
        <w:pStyle w:val="Sinespaciado"/>
        <w:ind w:left="-340"/>
        <w:jc w:val="both"/>
        <w:rPr>
          <w:rFonts w:ascii="Arial" w:hAnsi="Arial" w:cs="Arial"/>
          <w:bCs/>
        </w:rPr>
      </w:pPr>
    </w:p>
    <w:p w14:paraId="490053C0"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Baremo de Discapacidad</w:t>
      </w:r>
      <w:r w:rsidRPr="00C521CA">
        <w:rPr>
          <w:rFonts w:ascii="Arial" w:hAnsi="Arial" w:cs="Arial"/>
          <w:bCs/>
        </w:rPr>
        <w:t xml:space="preserve"> Es el Manual de Evaluación, calificación y valoración de la discapacidad del SDSS que establece los criterios metodológicos para determinar el grado de pérdida porcentual de la discapacidad para el SDSS</w:t>
      </w:r>
    </w:p>
    <w:p w14:paraId="2C99C877" w14:textId="77777777" w:rsidR="00CE43FB" w:rsidRPr="00C521CA" w:rsidRDefault="00CE43FB" w:rsidP="00C521CA">
      <w:pPr>
        <w:pStyle w:val="Sinespaciado"/>
        <w:ind w:left="-340"/>
        <w:jc w:val="both"/>
        <w:rPr>
          <w:rFonts w:ascii="Arial" w:hAnsi="Arial" w:cs="Arial"/>
          <w:bCs/>
        </w:rPr>
      </w:pPr>
    </w:p>
    <w:p w14:paraId="22AC3D4C"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Certificación de la discapacidad permanente</w:t>
      </w:r>
      <w:r w:rsidRPr="00C521CA">
        <w:rPr>
          <w:rFonts w:ascii="Arial" w:hAnsi="Arial" w:cs="Arial"/>
          <w:bCs/>
        </w:rPr>
        <w:t xml:space="preserve"> Proceso administrativo mediante el cual se valida que el protocolo médico aplicado en la evaluación y valoración del grado porcentual de la discapacidad permanente se ajusta al Manual de Evaluación y Calificación de la Discapacidad del SDSS, con la finalidad de asociarlo a los beneficios expresados en el artículo 196 de la Ley 87-01 modificado por el artículo 32 de la Ley 397-19 y sus normas complementarias.</w:t>
      </w:r>
    </w:p>
    <w:p w14:paraId="44B84BB3" w14:textId="77777777" w:rsidR="00CE43FB" w:rsidRPr="00C521CA" w:rsidRDefault="00CE43FB" w:rsidP="00C521CA">
      <w:pPr>
        <w:pStyle w:val="Sinespaciado"/>
        <w:ind w:left="-340"/>
        <w:jc w:val="both"/>
        <w:rPr>
          <w:rFonts w:ascii="Arial" w:hAnsi="Arial" w:cs="Arial"/>
          <w:bCs/>
        </w:rPr>
      </w:pPr>
    </w:p>
    <w:p w14:paraId="6D3CE99E"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Comisiones Médicas Regionales (CMR)</w:t>
      </w:r>
      <w:r w:rsidRPr="00C521CA">
        <w:rPr>
          <w:rFonts w:ascii="Arial" w:hAnsi="Arial" w:cs="Arial"/>
          <w:bCs/>
        </w:rPr>
        <w:t xml:space="preserve">: </w:t>
      </w:r>
      <w:r w:rsidRPr="00C521CA">
        <w:rPr>
          <w:rFonts w:ascii="Arial" w:hAnsi="Arial" w:cs="Arial"/>
        </w:rPr>
        <w:t>Son los profesionales de la salud especializados para calificar y establecer el grado porcentual de discapacidad permanente para el SDSS aplicando el MECAD, Las comisiones médicas regionales estarán constituidas por tres médicos designados por el CNSS. Los médicos no podrán ser dependientes</w:t>
      </w:r>
      <w:r w:rsidRPr="00C521CA">
        <w:rPr>
          <w:rFonts w:ascii="Arial" w:hAnsi="Arial" w:cs="Arial"/>
          <w:bCs/>
        </w:rPr>
        <w:t xml:space="preserve"> </w:t>
      </w:r>
      <w:r w:rsidRPr="00C521CA">
        <w:rPr>
          <w:rFonts w:ascii="Arial" w:hAnsi="Arial" w:cs="Arial"/>
        </w:rPr>
        <w:t>de la CNSS y serán contratados por ésta mediante honorarios</w:t>
      </w:r>
    </w:p>
    <w:p w14:paraId="54DB3933" w14:textId="77777777" w:rsidR="00CE43FB" w:rsidRPr="00C521CA" w:rsidRDefault="00CE43FB" w:rsidP="00C521CA">
      <w:pPr>
        <w:pStyle w:val="Prrafodelista"/>
        <w:ind w:left="-340"/>
        <w:rPr>
          <w:rFonts w:ascii="Arial" w:hAnsi="Arial" w:cs="Arial"/>
          <w:b/>
          <w:sz w:val="22"/>
          <w:szCs w:val="22"/>
        </w:rPr>
      </w:pPr>
    </w:p>
    <w:p w14:paraId="792E3B75"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 xml:space="preserve">Comisión Médica Nacional (CMN). </w:t>
      </w:r>
      <w:r w:rsidRPr="00C521CA">
        <w:rPr>
          <w:rFonts w:ascii="Arial" w:hAnsi="Arial" w:cs="Arial"/>
        </w:rPr>
        <w:t xml:space="preserve"> Es la constituida por tres médicos designados por el CNSS. Fungirá como instancia de apelación y tendrá como función revisar, validar o rechazar</w:t>
      </w:r>
      <w:r w:rsidRPr="00C521CA">
        <w:rPr>
          <w:rFonts w:ascii="Arial" w:hAnsi="Arial" w:cs="Arial"/>
          <w:bCs/>
        </w:rPr>
        <w:t xml:space="preserve"> </w:t>
      </w:r>
      <w:r w:rsidRPr="00C521CA">
        <w:rPr>
          <w:rFonts w:ascii="Arial" w:hAnsi="Arial" w:cs="Arial"/>
        </w:rPr>
        <w:t>los dictámenes de las comisiones médicas regionales.</w:t>
      </w:r>
    </w:p>
    <w:p w14:paraId="7DABE0DA" w14:textId="77777777" w:rsidR="00CE43FB" w:rsidRPr="00C521CA" w:rsidRDefault="00CE43FB" w:rsidP="00C521CA">
      <w:pPr>
        <w:pStyle w:val="Prrafodelista"/>
        <w:ind w:left="-340"/>
        <w:rPr>
          <w:rFonts w:ascii="Arial" w:hAnsi="Arial" w:cs="Arial"/>
          <w:b/>
          <w:sz w:val="22"/>
          <w:szCs w:val="22"/>
        </w:rPr>
      </w:pPr>
    </w:p>
    <w:p w14:paraId="45DDF405"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 xml:space="preserve">Dictamen Médico. </w:t>
      </w:r>
      <w:r w:rsidRPr="00C521CA">
        <w:rPr>
          <w:rFonts w:ascii="Arial" w:hAnsi="Arial" w:cs="Arial"/>
          <w:bCs/>
        </w:rPr>
        <w:t xml:space="preserve"> Documento legal emitido por </w:t>
      </w:r>
      <w:proofErr w:type="spellStart"/>
      <w:r w:rsidRPr="00C521CA">
        <w:rPr>
          <w:rFonts w:ascii="Arial" w:hAnsi="Arial" w:cs="Arial"/>
          <w:bCs/>
        </w:rPr>
        <w:t>CMRy</w:t>
      </w:r>
      <w:proofErr w:type="spellEnd"/>
      <w:r w:rsidRPr="00C521CA">
        <w:rPr>
          <w:rFonts w:ascii="Arial" w:hAnsi="Arial" w:cs="Arial"/>
          <w:bCs/>
        </w:rPr>
        <w:t xml:space="preserve"> N que basado sobre la aplicación del manual de evaluación y calificación de la discapacidad permanente y de referencia legal para el SDSS, califica y establece el grado porcentual de discapacidad de los afiliados remitidos, en el caso que ocupa al documento, por el IDOPPRIL.</w:t>
      </w:r>
    </w:p>
    <w:p w14:paraId="6EE74226" w14:textId="77777777" w:rsidR="00CE43FB" w:rsidRPr="00C521CA" w:rsidRDefault="00CE43FB" w:rsidP="00C521CA">
      <w:pPr>
        <w:pStyle w:val="Prrafodelista"/>
        <w:ind w:left="-340"/>
        <w:rPr>
          <w:rFonts w:ascii="Arial" w:hAnsi="Arial" w:cs="Arial"/>
          <w:b/>
          <w:sz w:val="22"/>
          <w:szCs w:val="22"/>
        </w:rPr>
      </w:pPr>
    </w:p>
    <w:p w14:paraId="38E19FF2"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Discapacidad:</w:t>
      </w:r>
      <w:r w:rsidRPr="00C521CA">
        <w:rPr>
          <w:rFonts w:ascii="Arial" w:hAnsi="Arial" w:cs="Arial"/>
          <w:bCs/>
        </w:rPr>
        <w:t xml:space="preserve"> De acuerdo a la OMS: “Cualquier restricción o impedimento de la capacidad de realizar una actividad en la forma o dentro del margen que se considera normal para el ser humano”</w:t>
      </w:r>
    </w:p>
    <w:p w14:paraId="42C1CF5F" w14:textId="77777777" w:rsidR="00CE43FB" w:rsidRPr="00C521CA" w:rsidRDefault="00CE43FB" w:rsidP="00C521CA">
      <w:pPr>
        <w:pStyle w:val="Prrafodelista"/>
        <w:ind w:left="-340"/>
        <w:rPr>
          <w:rFonts w:ascii="Arial" w:hAnsi="Arial" w:cs="Arial"/>
          <w:b/>
          <w:sz w:val="22"/>
          <w:szCs w:val="22"/>
        </w:rPr>
      </w:pPr>
    </w:p>
    <w:p w14:paraId="203D3BCA"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Discapacidad Permanente</w:t>
      </w:r>
      <w:r w:rsidRPr="00C521CA">
        <w:rPr>
          <w:rFonts w:ascii="Arial" w:hAnsi="Arial" w:cs="Arial"/>
          <w:bCs/>
        </w:rPr>
        <w:t xml:space="preserve"> Es la condición de salud donde la persona afectada ha alcanzado la Mejoría Médica Máxima (MMM) posible con un diagnóstico de secuela o daño permanente posterior a un accidente de trabajo o enfermedad profesional, para los fines de este documento. Esta discapacidad permanente puede ser permanente parcial, permanente total, permanente absoluta o; Gran Discapacidad.</w:t>
      </w:r>
    </w:p>
    <w:p w14:paraId="682B8AC6" w14:textId="77777777" w:rsidR="00CE43FB" w:rsidRPr="00C521CA" w:rsidRDefault="00CE43FB" w:rsidP="00C521CA">
      <w:pPr>
        <w:pStyle w:val="Prrafodelista"/>
        <w:ind w:left="-340"/>
        <w:rPr>
          <w:rFonts w:ascii="Arial" w:hAnsi="Arial" w:cs="Arial"/>
          <w:b/>
          <w:sz w:val="22"/>
          <w:szCs w:val="22"/>
        </w:rPr>
      </w:pPr>
    </w:p>
    <w:p w14:paraId="6977B853"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Grado porcentual de la discapacidad</w:t>
      </w:r>
      <w:r w:rsidRPr="00C521CA">
        <w:rPr>
          <w:rFonts w:ascii="Arial" w:hAnsi="Arial" w:cs="Arial"/>
          <w:bCs/>
        </w:rPr>
        <w:t xml:space="preserve"> es el porcentaje que se obtiene cuando se aplica el MECAD y da acceso a los beneficios contemplados en la Ley 87-01 y 397-19 para los afiliados al SRL </w:t>
      </w:r>
    </w:p>
    <w:p w14:paraId="30E745A9" w14:textId="77777777" w:rsidR="00CE43FB" w:rsidRPr="00C521CA" w:rsidRDefault="00CE43FB" w:rsidP="00C521CA">
      <w:pPr>
        <w:pStyle w:val="Prrafodelista"/>
        <w:ind w:left="-340"/>
        <w:rPr>
          <w:rFonts w:ascii="Arial" w:hAnsi="Arial" w:cs="Arial"/>
          <w:b/>
          <w:sz w:val="22"/>
          <w:szCs w:val="22"/>
        </w:rPr>
      </w:pPr>
    </w:p>
    <w:p w14:paraId="33682163"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Manual de Evaluación y Calificación de la Discapacidad</w:t>
      </w:r>
      <w:r w:rsidRPr="00C521CA">
        <w:rPr>
          <w:rFonts w:ascii="Arial" w:hAnsi="Arial" w:cs="Arial"/>
          <w:bCs/>
        </w:rPr>
        <w:t xml:space="preserve"> Baremo médico de referencia para para calificar y valorar la deficiencia, el impacto de la deficiencia en el rol laboral del afiliado y en sus actividades de la vida diaria, arrojando un resultado final de la pérdida de capacidad laboral de la persona</w:t>
      </w:r>
    </w:p>
    <w:p w14:paraId="3CD5A742" w14:textId="77777777" w:rsidR="00CE43FB" w:rsidRPr="00C521CA" w:rsidRDefault="00CE43FB" w:rsidP="00C521CA">
      <w:pPr>
        <w:pStyle w:val="Sinespaciado"/>
        <w:ind w:left="-340"/>
        <w:jc w:val="both"/>
        <w:rPr>
          <w:rFonts w:ascii="Arial" w:hAnsi="Arial" w:cs="Arial"/>
          <w:bCs/>
        </w:rPr>
      </w:pPr>
    </w:p>
    <w:p w14:paraId="6B7E7613" w14:textId="77777777" w:rsidR="00CE43FB" w:rsidRPr="00C521CA" w:rsidRDefault="00CE43FB" w:rsidP="00C521CA">
      <w:pPr>
        <w:pStyle w:val="Sinespaciado"/>
        <w:ind w:left="-340"/>
        <w:jc w:val="center"/>
        <w:rPr>
          <w:rFonts w:ascii="Arial" w:hAnsi="Arial" w:cs="Arial"/>
          <w:b/>
          <w:bCs/>
        </w:rPr>
      </w:pPr>
      <w:r w:rsidRPr="00C521CA">
        <w:rPr>
          <w:rFonts w:ascii="Arial" w:hAnsi="Arial" w:cs="Arial"/>
          <w:b/>
        </w:rPr>
        <w:t>CAPÍTULO II</w:t>
      </w:r>
      <w:r w:rsidRPr="00C521CA">
        <w:rPr>
          <w:rFonts w:ascii="Arial" w:hAnsi="Arial" w:cs="Arial"/>
          <w:bCs/>
        </w:rPr>
        <w:t xml:space="preserve">.- </w:t>
      </w:r>
      <w:r w:rsidRPr="00C521CA">
        <w:rPr>
          <w:rFonts w:ascii="Arial" w:hAnsi="Arial" w:cs="Arial"/>
          <w:b/>
          <w:bCs/>
        </w:rPr>
        <w:t>Del Objeto</w:t>
      </w:r>
    </w:p>
    <w:p w14:paraId="6D84B4B4" w14:textId="77777777" w:rsidR="00CE43FB" w:rsidRPr="00C521CA" w:rsidRDefault="00CE43FB" w:rsidP="00C521CA">
      <w:pPr>
        <w:pStyle w:val="Sinespaciado"/>
        <w:ind w:left="-340"/>
        <w:jc w:val="both"/>
        <w:rPr>
          <w:rFonts w:ascii="Arial" w:hAnsi="Arial" w:cs="Arial"/>
          <w:bCs/>
        </w:rPr>
      </w:pPr>
    </w:p>
    <w:p w14:paraId="17155CB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w:t>
      </w:r>
      <w:r w:rsidRPr="00C521CA">
        <w:rPr>
          <w:rFonts w:ascii="Arial" w:hAnsi="Arial" w:cs="Arial"/>
          <w:bCs/>
        </w:rPr>
        <w:t xml:space="preserve"> – Establecer el rol y alcance de las facultades operativas de la Comisión Técnica de la Discapacidad para el Seguro de Riesgos Laborales (CTD-SRL), en el marco del proceso y procedimiento para la Certificación de la Discapacidad que da acceso a las prestaciones económicas amparadas por el Seguro de Riesgos Laborales (SRL), en el marco de la Ley 87-01 y; la Resolución del CNSS No. 190-06, d/f 18 de septiembre de 2008 de carácter transitorio.</w:t>
      </w:r>
    </w:p>
    <w:p w14:paraId="2991E385" w14:textId="77777777" w:rsidR="00CE43FB" w:rsidRPr="00C521CA" w:rsidRDefault="00CE43FB" w:rsidP="00C521CA">
      <w:pPr>
        <w:pStyle w:val="Sinespaciado"/>
        <w:ind w:left="-340"/>
        <w:jc w:val="both"/>
        <w:rPr>
          <w:rFonts w:ascii="Arial" w:hAnsi="Arial" w:cs="Arial"/>
          <w:bCs/>
        </w:rPr>
      </w:pPr>
    </w:p>
    <w:p w14:paraId="5CD22A66"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Salvo otra instrucción de orden legal, las funciones de la CTD-SRL serán las mismas funciones que las establecidas para la CTD creada para el Seguro de Vejez, Discapacidad y Sobrevivencia (SVDS) en el marco del Art. 48 de la Ley 87-01 y, las normas complementarias que apliquen al SRL. A saber:</w:t>
      </w:r>
    </w:p>
    <w:p w14:paraId="05B17708" w14:textId="77777777" w:rsidR="00CE43FB" w:rsidRPr="00C521CA" w:rsidRDefault="00CE43FB" w:rsidP="00C521CA">
      <w:pPr>
        <w:pStyle w:val="Sinespaciado"/>
        <w:ind w:left="-340"/>
        <w:jc w:val="both"/>
        <w:rPr>
          <w:rFonts w:ascii="Arial" w:hAnsi="Arial" w:cs="Arial"/>
          <w:bCs/>
        </w:rPr>
      </w:pPr>
    </w:p>
    <w:p w14:paraId="04301792" w14:textId="77777777" w:rsidR="00CE43FB" w:rsidRPr="00C521CA" w:rsidRDefault="00CE43FB" w:rsidP="00C521CA">
      <w:pPr>
        <w:pStyle w:val="Sinespaciado"/>
        <w:numPr>
          <w:ilvl w:val="0"/>
          <w:numId w:val="8"/>
        </w:numPr>
        <w:ind w:left="-340" w:firstLine="0"/>
        <w:jc w:val="both"/>
        <w:rPr>
          <w:rFonts w:ascii="Arial" w:hAnsi="Arial" w:cs="Arial"/>
          <w:bCs/>
        </w:rPr>
      </w:pPr>
      <w:r w:rsidRPr="00C521CA">
        <w:rPr>
          <w:rFonts w:ascii="Arial" w:hAnsi="Arial" w:cs="Arial"/>
          <w:bCs/>
        </w:rPr>
        <w:t>Establecer las normas, criterios y parámetros para evaluar y calificar el grado de discapacidad en el ámbito de aseguramiento de los riesgos laborales</w:t>
      </w:r>
    </w:p>
    <w:p w14:paraId="4404EF37" w14:textId="77777777" w:rsidR="00CE43FB" w:rsidRPr="00C521CA" w:rsidRDefault="00CE43FB" w:rsidP="00C521CA">
      <w:pPr>
        <w:pStyle w:val="Sinespaciado"/>
        <w:ind w:left="-340"/>
        <w:jc w:val="both"/>
        <w:rPr>
          <w:rFonts w:ascii="Arial" w:hAnsi="Arial" w:cs="Arial"/>
          <w:bCs/>
        </w:rPr>
      </w:pPr>
    </w:p>
    <w:p w14:paraId="0C59ED25"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xml:space="preserve"> Para los fines de aplicar el baremo económico del SRL definido en el marco del Art. 32 de la Ley 397-19 que modifican el Art. 196, Ley 87-01 y sus normas complementarias, incluyendo las resoluciones CNSS que le son aplicables, la CTD-SRL vigilará por la aplicación del Manual de Evaluación y Calificación de la Discapacidad y/o sus actualizaciones, cuidando que las mismas apliquen al Seguro de Riesgos Laborales.</w:t>
      </w:r>
    </w:p>
    <w:p w14:paraId="70EB67F3" w14:textId="77777777" w:rsidR="00CE43FB" w:rsidRPr="00C521CA" w:rsidRDefault="00CE43FB" w:rsidP="00C521CA">
      <w:pPr>
        <w:pStyle w:val="Sinespaciado"/>
        <w:ind w:left="-340"/>
        <w:jc w:val="both"/>
        <w:rPr>
          <w:rFonts w:ascii="Arial" w:hAnsi="Arial" w:cs="Arial"/>
          <w:bCs/>
        </w:rPr>
      </w:pPr>
    </w:p>
    <w:p w14:paraId="11FFC85F" w14:textId="77777777" w:rsidR="00CE43FB" w:rsidRPr="00C521CA" w:rsidRDefault="00CE43FB" w:rsidP="00C521CA">
      <w:pPr>
        <w:pStyle w:val="Sinespaciado"/>
        <w:numPr>
          <w:ilvl w:val="0"/>
          <w:numId w:val="8"/>
        </w:numPr>
        <w:ind w:left="-340" w:firstLine="0"/>
        <w:jc w:val="both"/>
        <w:rPr>
          <w:rFonts w:ascii="Arial" w:hAnsi="Arial" w:cs="Arial"/>
          <w:bCs/>
        </w:rPr>
      </w:pPr>
      <w:r w:rsidRPr="00C521CA">
        <w:rPr>
          <w:rFonts w:ascii="Arial" w:hAnsi="Arial" w:cs="Arial"/>
          <w:bCs/>
        </w:rPr>
        <w:t>Conocer, validar y certificar que el grado porcentual de discapacidad permanente de todos los expedientes de afiliados con un dictamen emitido por las Comisiones Médicas Nacional y Regionales, se apegue al Manual Único de referencia legal y sus modificaciones aprobado por el CNSS como requisito administrativo para acceder a los beneficios económicos amparados por el SRL. de acuerdo al baremo económico en el marco de la Ley 397-19, que crea el IDOPPRIL; la Res. CNSS No. 525-04 y; sus modificaciones, estas últimas aplicadas por el Instituto Dominicano de Prevención y Protección de Riesgos Laborales (IDOPPRIL).</w:t>
      </w:r>
    </w:p>
    <w:p w14:paraId="1CB697FD" w14:textId="77777777" w:rsidR="00CE43FB" w:rsidRPr="00C521CA" w:rsidRDefault="00CE43FB" w:rsidP="00C521CA">
      <w:pPr>
        <w:pStyle w:val="Sinespaciado"/>
        <w:ind w:left="-340"/>
        <w:jc w:val="both"/>
        <w:rPr>
          <w:rFonts w:ascii="Arial" w:hAnsi="Arial" w:cs="Arial"/>
          <w:bCs/>
        </w:rPr>
      </w:pPr>
    </w:p>
    <w:p w14:paraId="23F19696"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III:</w:t>
      </w:r>
      <w:r w:rsidRPr="00C521CA">
        <w:rPr>
          <w:rFonts w:ascii="Arial" w:hAnsi="Arial" w:cs="Arial"/>
          <w:bCs/>
        </w:rPr>
        <w:t xml:space="preserve"> Una vez agotado el plazo transitorio de seis (6) meses establecidos en la Resolución del CNSS No. 594-02, d/f 11/07/2024, todas las lesiones permanentes de origen laboral, desde el 5% en adelante deben continuar siendo evaluadas por la Comisión Técnica de la Discapacidad para el Seguro de Riesgos Laborales (CTD-SRL).</w:t>
      </w:r>
    </w:p>
    <w:p w14:paraId="062AAB86" w14:textId="77777777" w:rsidR="00CE43FB" w:rsidRPr="00C521CA" w:rsidRDefault="00CE43FB" w:rsidP="00C521CA">
      <w:pPr>
        <w:pStyle w:val="Sinespaciado"/>
        <w:ind w:left="-340"/>
        <w:jc w:val="both"/>
        <w:rPr>
          <w:rFonts w:ascii="Arial" w:hAnsi="Arial" w:cs="Arial"/>
          <w:bCs/>
        </w:rPr>
      </w:pPr>
      <w:r w:rsidRPr="00C521CA">
        <w:rPr>
          <w:rFonts w:ascii="Arial" w:hAnsi="Arial" w:cs="Arial"/>
          <w:bCs/>
        </w:rPr>
        <w:t xml:space="preserve"> </w:t>
      </w:r>
    </w:p>
    <w:p w14:paraId="2E02DB8B"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IV</w:t>
      </w:r>
      <w:r w:rsidRPr="00C521CA">
        <w:rPr>
          <w:rFonts w:ascii="Arial" w:hAnsi="Arial" w:cs="Arial"/>
          <w:bCs/>
        </w:rPr>
        <w:t>: Todos los expedientes conocidos y no objetados serán certificados sin considerar si asiste o no una prestación económica, siendo el reconocimiento y otorgamiento responsabilidad del IDOPPRIL.</w:t>
      </w:r>
    </w:p>
    <w:p w14:paraId="3EAD2F40" w14:textId="77777777" w:rsidR="00CE43FB" w:rsidRPr="00C521CA" w:rsidRDefault="00CE43FB" w:rsidP="00C521CA">
      <w:pPr>
        <w:pStyle w:val="Sinespaciado"/>
        <w:ind w:left="-340"/>
        <w:jc w:val="both"/>
        <w:rPr>
          <w:rFonts w:ascii="Arial" w:eastAsiaTheme="minorHAnsi" w:hAnsi="Arial" w:cs="Arial"/>
          <w:bCs/>
          <w:lang w:val="es-DO"/>
        </w:rPr>
      </w:pPr>
    </w:p>
    <w:p w14:paraId="14FA763B" w14:textId="77777777" w:rsidR="00CE43FB" w:rsidRPr="00C521CA" w:rsidRDefault="00CE43FB" w:rsidP="00C521CA">
      <w:pPr>
        <w:pStyle w:val="Sinespaciado"/>
        <w:ind w:left="-340"/>
        <w:jc w:val="both"/>
        <w:rPr>
          <w:rFonts w:ascii="Arial" w:hAnsi="Arial" w:cs="Arial"/>
          <w:b/>
          <w:bCs/>
        </w:rPr>
      </w:pPr>
      <w:r w:rsidRPr="00C521CA">
        <w:rPr>
          <w:rFonts w:ascii="Arial" w:hAnsi="Arial" w:cs="Arial"/>
          <w:b/>
        </w:rPr>
        <w:t>Art. 2</w:t>
      </w:r>
      <w:r w:rsidRPr="00C521CA">
        <w:rPr>
          <w:rFonts w:ascii="Arial" w:hAnsi="Arial" w:cs="Arial"/>
          <w:bCs/>
        </w:rPr>
        <w:t xml:space="preserve">. </w:t>
      </w:r>
      <w:r w:rsidRPr="00C521CA">
        <w:rPr>
          <w:rFonts w:ascii="Arial" w:hAnsi="Arial" w:cs="Arial"/>
          <w:b/>
          <w:bCs/>
        </w:rPr>
        <w:t xml:space="preserve">Del ámbito y alcance de la calificación de la discapacidad permanente para el SRL.  </w:t>
      </w:r>
      <w:r w:rsidRPr="00C521CA">
        <w:rPr>
          <w:rFonts w:ascii="Arial" w:hAnsi="Arial" w:cs="Arial"/>
          <w:bCs/>
        </w:rPr>
        <w:t>La CTD-SRL conocerá todo expediente remitido por el IDOPPRIL que cuente con una De Alta Médica con secuela de origen laboral que haya sido remitida a las Comisiones Médicas Regionales con la finalidad de obtener un dictamen del grado porcentual de una discapacidad.</w:t>
      </w:r>
    </w:p>
    <w:p w14:paraId="67966FF3" w14:textId="77777777" w:rsidR="00CE43FB" w:rsidRPr="00C521CA" w:rsidRDefault="00CE43FB" w:rsidP="00C521CA">
      <w:pPr>
        <w:pStyle w:val="Sinespaciado"/>
        <w:ind w:left="-340"/>
        <w:jc w:val="both"/>
        <w:rPr>
          <w:rFonts w:ascii="Arial" w:hAnsi="Arial" w:cs="Arial"/>
          <w:bCs/>
        </w:rPr>
      </w:pPr>
    </w:p>
    <w:p w14:paraId="1151B82A"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xml:space="preserve"> Posterior a una De Alta con Secuela de origen laboral, el IDOPPRIL en el marco del Art. 197, Ley 87-01 informará al afiliado que requiere una calificación del grado porcentual de la discapacidad. El afiliado podrá escoger un médico entrenado en aplicar el manual del SDSS o; elegir que la evaluación médica se realice de manera conjunta en la CMR.  En todos los casos, el IDOPPRIL reconocerá de su parte a las CMR como entidad calificadora del grado porcentual de la discapacidad permanente de origen laboral. </w:t>
      </w:r>
    </w:p>
    <w:p w14:paraId="0712D28B" w14:textId="77777777" w:rsidR="00CE43FB" w:rsidRPr="00C521CA" w:rsidRDefault="00CE43FB" w:rsidP="00C521CA">
      <w:pPr>
        <w:pStyle w:val="Sinespaciado"/>
        <w:ind w:left="-340"/>
        <w:jc w:val="both"/>
        <w:rPr>
          <w:rFonts w:ascii="Arial" w:hAnsi="Arial" w:cs="Arial"/>
          <w:bCs/>
        </w:rPr>
      </w:pPr>
    </w:p>
    <w:p w14:paraId="7823C335"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xml:space="preserve"> En los casos donde el afiliado opte por un dictamen médico ajeno a la CMR, este formará parte del expediente del afiliado que remite el IDOPPRIL a las CMR.</w:t>
      </w:r>
    </w:p>
    <w:p w14:paraId="0F04C89C" w14:textId="77777777" w:rsidR="00CE43FB" w:rsidRPr="00C521CA" w:rsidRDefault="00CE43FB" w:rsidP="00C521CA">
      <w:pPr>
        <w:pStyle w:val="Sinespaciado"/>
        <w:ind w:left="-340"/>
        <w:jc w:val="both"/>
        <w:rPr>
          <w:rFonts w:ascii="Arial" w:hAnsi="Arial" w:cs="Arial"/>
          <w:bCs/>
        </w:rPr>
      </w:pPr>
    </w:p>
    <w:p w14:paraId="4590C1FE"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III:</w:t>
      </w:r>
      <w:r w:rsidRPr="00C521CA">
        <w:rPr>
          <w:rFonts w:ascii="Arial" w:hAnsi="Arial" w:cs="Arial"/>
          <w:bCs/>
        </w:rPr>
        <w:t xml:space="preserve">  Para los fines de certificación, cuando los valores porcentuales sean similares y no supongan un cambio en las prestaciones económicas estimadas según el grado de discapacidad porcentual, la CTD certificará por el que más favorezca al afiliado. </w:t>
      </w:r>
    </w:p>
    <w:p w14:paraId="5D6F0563" w14:textId="77777777" w:rsidR="00CE43FB" w:rsidRPr="00C521CA" w:rsidRDefault="00CE43FB" w:rsidP="00C521CA">
      <w:pPr>
        <w:pStyle w:val="Sinespaciado"/>
        <w:ind w:left="-340"/>
        <w:jc w:val="both"/>
        <w:rPr>
          <w:rFonts w:ascii="Arial" w:hAnsi="Arial" w:cs="Arial"/>
          <w:bCs/>
        </w:rPr>
      </w:pPr>
    </w:p>
    <w:p w14:paraId="072E982F" w14:textId="77777777" w:rsidR="00CE43FB" w:rsidRPr="00C521CA" w:rsidRDefault="00CE43FB" w:rsidP="00C521CA">
      <w:pPr>
        <w:pStyle w:val="Sinespaciado"/>
        <w:ind w:left="-340"/>
        <w:jc w:val="both"/>
        <w:rPr>
          <w:rFonts w:ascii="Arial" w:hAnsi="Arial" w:cs="Arial"/>
          <w:bCs/>
        </w:rPr>
      </w:pPr>
      <w:r w:rsidRPr="00C521CA">
        <w:rPr>
          <w:rFonts w:ascii="Arial" w:hAnsi="Arial" w:cs="Arial"/>
          <w:bCs/>
        </w:rPr>
        <w:t>Cuando no reúna los criterios anteriores y la diferencia del dictamen sea significativa; la CTD-SRL a través de la SISALRIL devolverá al IDOPPRIL para que el expediente sea remitido a la CMN,</w:t>
      </w:r>
    </w:p>
    <w:p w14:paraId="21910829" w14:textId="77777777" w:rsidR="00CE43FB" w:rsidRPr="00C521CA" w:rsidRDefault="00CE43FB" w:rsidP="00C521CA">
      <w:pPr>
        <w:pStyle w:val="Sinespaciado"/>
        <w:ind w:left="-340"/>
        <w:jc w:val="both"/>
        <w:rPr>
          <w:rFonts w:ascii="Arial" w:hAnsi="Arial" w:cs="Arial"/>
          <w:bCs/>
        </w:rPr>
      </w:pPr>
    </w:p>
    <w:p w14:paraId="53F2D281"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IV:</w:t>
      </w:r>
      <w:r w:rsidRPr="00C521CA">
        <w:rPr>
          <w:rFonts w:ascii="Arial" w:hAnsi="Arial" w:cs="Arial"/>
          <w:bCs/>
        </w:rPr>
        <w:t xml:space="preserve"> La CTD-SRL, vigilará porque el médico calificador que representa al afiliado no forme parte de la CMR que lo va a evaluar y/o CTD-SRL que evalúa para el IDOPPRIL o certifica la discapacidad permanente, observando el proceso y devolviendo a la CMR por esta causa, solicitando la evaluación por una CMR distinta y donde no forme parte el profesional que representa al afiliado.</w:t>
      </w:r>
    </w:p>
    <w:p w14:paraId="25826EE3" w14:textId="77777777" w:rsidR="00CE43FB" w:rsidRPr="00C521CA" w:rsidRDefault="00CE43FB" w:rsidP="00C521CA">
      <w:pPr>
        <w:pStyle w:val="Sinespaciado"/>
        <w:ind w:left="-340"/>
        <w:jc w:val="both"/>
        <w:rPr>
          <w:rFonts w:ascii="Arial" w:hAnsi="Arial" w:cs="Arial"/>
          <w:bCs/>
        </w:rPr>
      </w:pPr>
    </w:p>
    <w:p w14:paraId="17E4D40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V:</w:t>
      </w:r>
      <w:r w:rsidRPr="00C521CA">
        <w:rPr>
          <w:rFonts w:ascii="Arial" w:hAnsi="Arial" w:cs="Arial"/>
          <w:bCs/>
        </w:rPr>
        <w:t xml:space="preserve">  Los miembros de la CMN, conformando una instancia de apelación, no podrán fungir como calificadores elegibles por el afiliado.</w:t>
      </w:r>
    </w:p>
    <w:p w14:paraId="40A60686" w14:textId="77777777" w:rsidR="00CE43FB" w:rsidRPr="00C521CA" w:rsidRDefault="00CE43FB" w:rsidP="00C521CA">
      <w:pPr>
        <w:pStyle w:val="Sinespaciado"/>
        <w:ind w:left="-340"/>
        <w:jc w:val="both"/>
        <w:rPr>
          <w:rFonts w:ascii="Arial" w:hAnsi="Arial" w:cs="Arial"/>
          <w:bCs/>
        </w:rPr>
      </w:pPr>
    </w:p>
    <w:p w14:paraId="3C552C8E"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VI:</w:t>
      </w:r>
      <w:r w:rsidRPr="00C521CA">
        <w:rPr>
          <w:rFonts w:ascii="Arial" w:hAnsi="Arial" w:cs="Arial"/>
          <w:bCs/>
        </w:rPr>
        <w:t xml:space="preserve"> La SISALRIL propiciará un programa de capacitación y educación continuada para fortalecer la formación de profesionales de la salud en la aplicación del baremo médico y calificación de la discapacidad permanente, y sus actualizaciones, con el objetivo de facilitar el derecho a escoger libremente un profesional en el marco del Art.197, de la Ley 87-01, en atención a la demanda del servicio.</w:t>
      </w:r>
    </w:p>
    <w:p w14:paraId="2A9B1050" w14:textId="77777777" w:rsidR="00CE43FB" w:rsidRPr="00C521CA" w:rsidRDefault="00CE43FB" w:rsidP="00C521CA">
      <w:pPr>
        <w:pStyle w:val="Sinespaciado"/>
        <w:ind w:left="-340"/>
        <w:jc w:val="both"/>
        <w:rPr>
          <w:rFonts w:ascii="Arial" w:hAnsi="Arial" w:cs="Arial"/>
          <w:b/>
          <w:bCs/>
        </w:rPr>
      </w:pPr>
    </w:p>
    <w:p w14:paraId="19CDA6E7"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3.-</w:t>
      </w:r>
      <w:r w:rsidRPr="00C521CA">
        <w:rPr>
          <w:rFonts w:ascii="Arial" w:hAnsi="Arial" w:cs="Arial"/>
          <w:bCs/>
        </w:rPr>
        <w:t xml:space="preserve"> La CTD-SRL, certificará en base a la calificación emitida por la CMR, no observada por la CTD-SRL y no objetada por el afiliado o; el IDOPPRIL. En los casos apelados, serán los remitidos por la CMN.</w:t>
      </w:r>
    </w:p>
    <w:p w14:paraId="0188BD98" w14:textId="77777777" w:rsidR="00CE43FB" w:rsidRPr="00C521CA" w:rsidRDefault="00CE43FB" w:rsidP="00C521CA">
      <w:pPr>
        <w:pStyle w:val="Sinespaciado"/>
        <w:ind w:left="-340"/>
        <w:jc w:val="both"/>
        <w:rPr>
          <w:rFonts w:ascii="Arial" w:hAnsi="Arial" w:cs="Arial"/>
          <w:bCs/>
        </w:rPr>
      </w:pPr>
    </w:p>
    <w:p w14:paraId="75DE233E" w14:textId="77777777" w:rsidR="00CE43FB" w:rsidRPr="00C521CA" w:rsidRDefault="00CE43FB" w:rsidP="00C521CA">
      <w:pPr>
        <w:pStyle w:val="Sinespaciado"/>
        <w:ind w:left="-340"/>
        <w:jc w:val="both"/>
        <w:rPr>
          <w:rFonts w:ascii="Arial" w:hAnsi="Arial" w:cs="Arial"/>
          <w:bCs/>
        </w:rPr>
      </w:pPr>
      <w:r w:rsidRPr="00C521CA">
        <w:rPr>
          <w:rFonts w:ascii="Arial" w:hAnsi="Arial" w:cs="Arial"/>
          <w:b/>
          <w:bCs/>
        </w:rPr>
        <w:t xml:space="preserve">Art 4. </w:t>
      </w:r>
      <w:r w:rsidRPr="00C521CA">
        <w:rPr>
          <w:rFonts w:ascii="Arial" w:hAnsi="Arial" w:cs="Arial"/>
          <w:bCs/>
        </w:rPr>
        <w:t xml:space="preserve">La CTD-SRL, en el marco de los procedimientos administrativos aprobados por el CNSS podrá devolver expedientes conocidos y objetados para fines de revisar las observaciones, en lo referente a la adecuada aplicación del Manual de Procedimiento Administrativo aprobado por el CNSS y diagnóstico (s) de secuela (s).  </w:t>
      </w:r>
    </w:p>
    <w:p w14:paraId="65FAF61C" w14:textId="77777777" w:rsidR="00CE43FB" w:rsidRPr="00C521CA" w:rsidRDefault="00CE43FB" w:rsidP="00C521CA">
      <w:pPr>
        <w:pStyle w:val="Prrafodelista"/>
        <w:ind w:left="-340"/>
        <w:rPr>
          <w:rFonts w:ascii="Arial" w:hAnsi="Arial" w:cs="Arial"/>
          <w:bCs/>
          <w:sz w:val="22"/>
          <w:szCs w:val="22"/>
        </w:rPr>
      </w:pPr>
    </w:p>
    <w:p w14:paraId="67C08DD3"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No es función de la CTD-SRL validar el ejercicio médico, prescripciones diagnósticas de la evaluación de la discapacidad. Sólo en aquellos casos que se evidencie la inobservancia del protocolo y/o instrucciones expresas en el marco del MECAD, deberá ser devuelto a la CMR de origen para que sea evaluado.</w:t>
      </w:r>
    </w:p>
    <w:p w14:paraId="610DC8F1" w14:textId="77777777" w:rsidR="00CE43FB" w:rsidRPr="00C521CA" w:rsidRDefault="00CE43FB" w:rsidP="00C521CA">
      <w:pPr>
        <w:pStyle w:val="Prrafodelista"/>
        <w:ind w:left="-340"/>
        <w:rPr>
          <w:rFonts w:ascii="Arial" w:hAnsi="Arial" w:cs="Arial"/>
          <w:bCs/>
          <w:sz w:val="22"/>
          <w:szCs w:val="22"/>
        </w:rPr>
      </w:pPr>
    </w:p>
    <w:p w14:paraId="68E2B7F7" w14:textId="77777777" w:rsidR="00CE43FB" w:rsidRPr="00C521CA" w:rsidRDefault="00CE43FB" w:rsidP="00C521CA">
      <w:pPr>
        <w:pStyle w:val="Sinespaciado"/>
        <w:ind w:left="-340"/>
        <w:jc w:val="both"/>
        <w:rPr>
          <w:rFonts w:ascii="Arial" w:hAnsi="Arial" w:cs="Arial"/>
          <w:bCs/>
        </w:rPr>
      </w:pPr>
      <w:r w:rsidRPr="00C521CA">
        <w:rPr>
          <w:rFonts w:ascii="Arial" w:hAnsi="Arial" w:cs="Arial"/>
          <w:b/>
          <w:bCs/>
        </w:rPr>
        <w:t xml:space="preserve">Art 5. </w:t>
      </w:r>
      <w:r w:rsidRPr="00C521CA">
        <w:rPr>
          <w:rFonts w:ascii="Arial" w:hAnsi="Arial" w:cs="Arial"/>
          <w:bCs/>
        </w:rPr>
        <w:t>La CTD-SRL tomará decisiones en el contexto de las sesiones de trabajo sobre cada expediente en particular, actuando por mayoría cuando no se dé el consenso.</w:t>
      </w:r>
    </w:p>
    <w:p w14:paraId="5CB86694" w14:textId="77777777" w:rsidR="00CE43FB" w:rsidRPr="00C521CA" w:rsidRDefault="00CE43FB" w:rsidP="00C521CA">
      <w:pPr>
        <w:pStyle w:val="Sinespaciado"/>
        <w:ind w:left="-340"/>
        <w:jc w:val="both"/>
        <w:rPr>
          <w:rFonts w:ascii="Arial" w:hAnsi="Arial" w:cs="Arial"/>
          <w:bCs/>
        </w:rPr>
      </w:pPr>
    </w:p>
    <w:p w14:paraId="29443287"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En los casos de no llegar a un consenso por mayoría, sea por participación o inhibición de uno o más miembros CTD-SRL, el expediente será remitido a la CMN a través del IDOPPRIL.</w:t>
      </w:r>
    </w:p>
    <w:p w14:paraId="38533B10" w14:textId="77777777" w:rsidR="00CE43FB" w:rsidRPr="00C521CA" w:rsidRDefault="00CE43FB" w:rsidP="00C521CA">
      <w:pPr>
        <w:pStyle w:val="Prrafodelista"/>
        <w:ind w:left="-340"/>
        <w:rPr>
          <w:rFonts w:ascii="Arial" w:hAnsi="Arial" w:cs="Arial"/>
          <w:bCs/>
          <w:sz w:val="22"/>
          <w:szCs w:val="22"/>
        </w:rPr>
      </w:pPr>
    </w:p>
    <w:p w14:paraId="6C0D9C5E" w14:textId="77777777" w:rsidR="00CE43FB" w:rsidRPr="00C521CA" w:rsidRDefault="00CE43FB" w:rsidP="00C521CA">
      <w:pPr>
        <w:pStyle w:val="Sinespaciado"/>
        <w:ind w:left="-340"/>
        <w:jc w:val="both"/>
        <w:rPr>
          <w:rFonts w:ascii="Arial" w:hAnsi="Arial" w:cs="Arial"/>
          <w:bCs/>
        </w:rPr>
      </w:pPr>
      <w:r w:rsidRPr="00C521CA">
        <w:rPr>
          <w:rFonts w:ascii="Arial" w:hAnsi="Arial" w:cs="Arial"/>
          <w:b/>
          <w:bCs/>
        </w:rPr>
        <w:t xml:space="preserve">Art 6. </w:t>
      </w:r>
      <w:r w:rsidRPr="00C521CA">
        <w:rPr>
          <w:rFonts w:ascii="Arial" w:hAnsi="Arial" w:cs="Arial"/>
          <w:bCs/>
        </w:rPr>
        <w:t>La CTD-SRL podrá proponer aspectos no contemplados o de mejora en materia evaluación, valoración, certificación de la discapacidad para ser canalizados al CNSS a través de la SISALRIL</w:t>
      </w:r>
    </w:p>
    <w:p w14:paraId="6134ADE5" w14:textId="77777777" w:rsidR="00CE43FB" w:rsidRPr="00C521CA" w:rsidRDefault="00CE43FB" w:rsidP="00C521CA">
      <w:pPr>
        <w:pStyle w:val="Sinespaciado"/>
        <w:ind w:left="-340"/>
        <w:jc w:val="both"/>
        <w:rPr>
          <w:rFonts w:ascii="Arial" w:eastAsiaTheme="minorHAnsi" w:hAnsi="Arial" w:cs="Arial"/>
          <w:bCs/>
          <w:lang w:val="es-DO"/>
        </w:rPr>
      </w:pPr>
    </w:p>
    <w:p w14:paraId="3D000BD3"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Cuando el CNSS acoja una propuesta particular que incida en el modo de calificar la discapacidad permanente, la SISALRIL será responsable de coordinar o colaborar con la divulgación de la misma, según el alcance de la información. </w:t>
      </w:r>
    </w:p>
    <w:p w14:paraId="45D26B21" w14:textId="77777777" w:rsidR="00CE43FB" w:rsidRPr="00C521CA" w:rsidRDefault="00CE43FB" w:rsidP="00C521CA">
      <w:pPr>
        <w:pStyle w:val="Sinespaciado"/>
        <w:ind w:left="-340"/>
        <w:jc w:val="both"/>
        <w:rPr>
          <w:rFonts w:ascii="Arial" w:hAnsi="Arial" w:cs="Arial"/>
          <w:b/>
          <w:bCs/>
        </w:rPr>
      </w:pPr>
    </w:p>
    <w:p w14:paraId="3464A3C9" w14:textId="77777777" w:rsidR="00CE43FB" w:rsidRPr="00C521CA" w:rsidRDefault="00CE43FB" w:rsidP="00C521CA">
      <w:pPr>
        <w:pStyle w:val="Sinespaciado"/>
        <w:ind w:left="-340"/>
        <w:jc w:val="both"/>
        <w:rPr>
          <w:rFonts w:ascii="Arial" w:hAnsi="Arial" w:cs="Arial"/>
          <w:bCs/>
        </w:rPr>
      </w:pPr>
      <w:r w:rsidRPr="00C521CA">
        <w:rPr>
          <w:rFonts w:ascii="Arial" w:hAnsi="Arial" w:cs="Arial"/>
          <w:b/>
          <w:bCs/>
        </w:rPr>
        <w:t>Art 7.- Estructura Organizacional</w:t>
      </w:r>
      <w:r w:rsidRPr="00C521CA">
        <w:rPr>
          <w:rFonts w:ascii="Arial" w:hAnsi="Arial" w:cs="Arial"/>
          <w:bCs/>
        </w:rPr>
        <w:t xml:space="preserve">. La CTD-SRL, estará conformada por: </w:t>
      </w:r>
    </w:p>
    <w:p w14:paraId="13EC24D9" w14:textId="77777777" w:rsidR="00CE43FB" w:rsidRPr="00C521CA" w:rsidRDefault="00CE43FB" w:rsidP="00C521CA">
      <w:pPr>
        <w:pStyle w:val="Sinespaciado"/>
        <w:ind w:left="-340"/>
        <w:jc w:val="both"/>
        <w:rPr>
          <w:rFonts w:ascii="Arial" w:hAnsi="Arial" w:cs="Arial"/>
          <w:bCs/>
        </w:rPr>
      </w:pPr>
    </w:p>
    <w:p w14:paraId="654E4F9A"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a. El Superintendente de Salud y Riesgos Laborales, quien la presidirá;</w:t>
      </w:r>
    </w:p>
    <w:p w14:paraId="0850BEAF"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 xml:space="preserve">b. El </w:t>
      </w:r>
      <w:proofErr w:type="gramStart"/>
      <w:r w:rsidRPr="00C521CA">
        <w:rPr>
          <w:rFonts w:ascii="Arial" w:hAnsi="Arial" w:cs="Arial"/>
          <w:sz w:val="22"/>
          <w:szCs w:val="22"/>
        </w:rPr>
        <w:t>Director Ejecutivo</w:t>
      </w:r>
      <w:proofErr w:type="gramEnd"/>
      <w:r w:rsidRPr="00C521CA">
        <w:rPr>
          <w:rFonts w:ascii="Arial" w:hAnsi="Arial" w:cs="Arial"/>
          <w:sz w:val="22"/>
          <w:szCs w:val="22"/>
        </w:rPr>
        <w:t xml:space="preserve"> del Consejo Nacional de la Discapacidad (CONADIS);</w:t>
      </w:r>
    </w:p>
    <w:p w14:paraId="1CAFFD18"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 xml:space="preserve">c. El </w:t>
      </w:r>
      <w:proofErr w:type="gramStart"/>
      <w:r w:rsidRPr="00C521CA">
        <w:rPr>
          <w:rFonts w:ascii="Arial" w:hAnsi="Arial" w:cs="Arial"/>
          <w:sz w:val="22"/>
          <w:szCs w:val="22"/>
        </w:rPr>
        <w:t>Presidente</w:t>
      </w:r>
      <w:proofErr w:type="gramEnd"/>
      <w:r w:rsidRPr="00C521CA">
        <w:rPr>
          <w:rFonts w:ascii="Arial" w:hAnsi="Arial" w:cs="Arial"/>
          <w:sz w:val="22"/>
          <w:szCs w:val="22"/>
        </w:rPr>
        <w:t xml:space="preserve"> de la Comisión Médica Nacional (CMN);</w:t>
      </w:r>
    </w:p>
    <w:p w14:paraId="268D3A11"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 xml:space="preserve">d. El </w:t>
      </w:r>
      <w:proofErr w:type="gramStart"/>
      <w:r w:rsidRPr="00C521CA">
        <w:rPr>
          <w:rFonts w:ascii="Arial" w:hAnsi="Arial" w:cs="Arial"/>
          <w:sz w:val="22"/>
          <w:szCs w:val="22"/>
        </w:rPr>
        <w:t>Director</w:t>
      </w:r>
      <w:proofErr w:type="gramEnd"/>
      <w:r w:rsidRPr="00C521CA">
        <w:rPr>
          <w:rFonts w:ascii="Arial" w:hAnsi="Arial" w:cs="Arial"/>
          <w:sz w:val="22"/>
          <w:szCs w:val="22"/>
        </w:rPr>
        <w:t xml:space="preserve"> (a) de la Dirección General de Información y Defensa de los Afiliados (DIDA);</w:t>
      </w:r>
    </w:p>
    <w:p w14:paraId="12F9686F"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e. Un miembro designado por el Colegio Médico Dominicano (CMD);</w:t>
      </w:r>
    </w:p>
    <w:p w14:paraId="05281E07"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f.  Un representante del Instituto Dominicano de Prevención y Protección de Riesgos Laborales (IDOPPRIL).</w:t>
      </w:r>
    </w:p>
    <w:p w14:paraId="6F14B2C1"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g. Un representante de la Sociedad de Fisiatría.</w:t>
      </w:r>
    </w:p>
    <w:p w14:paraId="081A8982" w14:textId="77777777" w:rsidR="00CE43FB" w:rsidRPr="00C521CA" w:rsidRDefault="00CE43FB" w:rsidP="00C521CA">
      <w:pPr>
        <w:spacing w:line="276" w:lineRule="auto"/>
        <w:ind w:left="-340"/>
        <w:jc w:val="both"/>
        <w:rPr>
          <w:rFonts w:ascii="Arial" w:hAnsi="Arial" w:cs="Arial"/>
          <w:sz w:val="22"/>
          <w:szCs w:val="22"/>
          <w:lang w:val="es-MX"/>
        </w:rPr>
      </w:pPr>
      <w:r w:rsidRPr="00C521CA">
        <w:rPr>
          <w:rFonts w:ascii="Arial" w:hAnsi="Arial" w:cs="Arial"/>
          <w:sz w:val="22"/>
          <w:szCs w:val="22"/>
        </w:rPr>
        <w:t xml:space="preserve">h. Un representante </w:t>
      </w:r>
      <w:r w:rsidRPr="00C521CA">
        <w:rPr>
          <w:rFonts w:ascii="Arial" w:hAnsi="Arial" w:cs="Arial"/>
          <w:sz w:val="22"/>
          <w:szCs w:val="22"/>
          <w:lang w:val="es-MX"/>
        </w:rPr>
        <w:t>del Colegio Dominicano de Profesionales de Enfermería (CODOPENF).</w:t>
      </w:r>
    </w:p>
    <w:p w14:paraId="7D19E935" w14:textId="77777777" w:rsidR="00CE43FB" w:rsidRPr="00C521CA" w:rsidRDefault="00CE43FB" w:rsidP="00CE43FB">
      <w:pPr>
        <w:pStyle w:val="Sinespaciado"/>
        <w:jc w:val="both"/>
        <w:rPr>
          <w:rFonts w:ascii="Arial" w:hAnsi="Arial" w:cs="Arial"/>
          <w:bCs/>
        </w:rPr>
      </w:pPr>
    </w:p>
    <w:p w14:paraId="6614A42B"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Cada entidad u organismo nombrará un suplente para garantizar el quórum de las sesiones de trabajo convocadas. En los casos en que el suplente no asista de manera periódica a las reuniones convocadas, la entidad u organismo deberá designar otro suplente.</w:t>
      </w:r>
    </w:p>
    <w:p w14:paraId="40EAE0A9" w14:textId="77777777" w:rsidR="00CE43FB" w:rsidRPr="00C521CA" w:rsidRDefault="00CE43FB" w:rsidP="00C521CA">
      <w:pPr>
        <w:pStyle w:val="Sinespaciado"/>
        <w:ind w:left="-340"/>
        <w:jc w:val="both"/>
        <w:rPr>
          <w:rFonts w:ascii="Arial" w:hAnsi="Arial" w:cs="Arial"/>
          <w:bCs/>
        </w:rPr>
      </w:pPr>
    </w:p>
    <w:p w14:paraId="0DB98179"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8.</w:t>
      </w:r>
      <w:r w:rsidRPr="00C521CA">
        <w:rPr>
          <w:rFonts w:ascii="Arial" w:hAnsi="Arial" w:cs="Arial"/>
          <w:bCs/>
        </w:rPr>
        <w:t xml:space="preserve"> </w:t>
      </w:r>
      <w:r w:rsidRPr="00C521CA">
        <w:rPr>
          <w:rFonts w:ascii="Arial" w:hAnsi="Arial" w:cs="Arial"/>
          <w:b/>
          <w:bCs/>
        </w:rPr>
        <w:t>De la operativización de la CTD-SRL</w:t>
      </w:r>
      <w:r w:rsidRPr="00C521CA">
        <w:rPr>
          <w:rFonts w:ascii="Arial" w:hAnsi="Arial" w:cs="Arial"/>
          <w:bCs/>
        </w:rPr>
        <w:t xml:space="preserve">. La Superintendencia de Salud y Riesgos Laborales conformará una Coordinación Técnica para la CTD (CT-CTD/SRL), la cual brindará el soporte de la logística que materializará el proceso de certificación. </w:t>
      </w:r>
    </w:p>
    <w:p w14:paraId="20A8BCC6" w14:textId="77777777" w:rsidR="00CE43FB" w:rsidRPr="00C521CA" w:rsidRDefault="00CE43FB" w:rsidP="00C521CA">
      <w:pPr>
        <w:pStyle w:val="Sinespaciado"/>
        <w:ind w:left="-340"/>
        <w:jc w:val="both"/>
        <w:rPr>
          <w:rFonts w:ascii="Arial" w:hAnsi="Arial" w:cs="Arial"/>
          <w:bCs/>
        </w:rPr>
      </w:pPr>
    </w:p>
    <w:p w14:paraId="045ECC27"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xml:space="preserve"> El Superintendente de Salud y Riesgos Laborales podrá designar un presidente en funciones para presidir y representar a la CTD-SRL con facultad de voz y voto en los aspectos técnicos de la calificación de la discapacidad y responsable de la gestión oportuna para la certificación. </w:t>
      </w:r>
    </w:p>
    <w:p w14:paraId="43CAADF0" w14:textId="77777777" w:rsidR="00CE43FB" w:rsidRPr="00C521CA" w:rsidRDefault="00CE43FB" w:rsidP="00C521CA">
      <w:pPr>
        <w:pStyle w:val="Sinespaciado"/>
        <w:ind w:left="-340"/>
        <w:jc w:val="both"/>
        <w:rPr>
          <w:rFonts w:ascii="Arial" w:hAnsi="Arial" w:cs="Arial"/>
          <w:bCs/>
        </w:rPr>
      </w:pPr>
    </w:p>
    <w:p w14:paraId="517FABC0"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xml:space="preserve"> Así mismo, la SISALRIL incluirá y gestionará de su presupuesto un pago por asistencia y/o concepto por viáticos por cada sesión de trabajo que asistan los miembros de la CTD-SRL. Se excluyen de estas asignaciones los representantes de la SISALRIL.</w:t>
      </w:r>
    </w:p>
    <w:p w14:paraId="29ECBD3E" w14:textId="77777777" w:rsidR="00CE43FB" w:rsidRPr="00C521CA" w:rsidRDefault="00CE43FB" w:rsidP="00C521CA">
      <w:pPr>
        <w:pStyle w:val="Sinespaciado"/>
        <w:ind w:left="-340"/>
        <w:jc w:val="both"/>
        <w:rPr>
          <w:rFonts w:ascii="Arial" w:hAnsi="Arial" w:cs="Arial"/>
          <w:bCs/>
        </w:rPr>
      </w:pPr>
    </w:p>
    <w:p w14:paraId="7A24BADA"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Art.9.-</w:t>
      </w:r>
      <w:r w:rsidRPr="00C521CA">
        <w:rPr>
          <w:rFonts w:ascii="Arial" w:hAnsi="Arial" w:cs="Arial"/>
          <w:bCs/>
        </w:rPr>
        <w:t xml:space="preserve"> De las funciones del </w:t>
      </w:r>
      <w:proofErr w:type="gramStart"/>
      <w:r w:rsidRPr="00C521CA">
        <w:rPr>
          <w:rFonts w:ascii="Arial" w:hAnsi="Arial" w:cs="Arial"/>
          <w:b/>
        </w:rPr>
        <w:t>Presidente</w:t>
      </w:r>
      <w:proofErr w:type="gramEnd"/>
      <w:r w:rsidRPr="00C521CA">
        <w:rPr>
          <w:rFonts w:ascii="Arial" w:hAnsi="Arial" w:cs="Arial"/>
          <w:b/>
        </w:rPr>
        <w:t xml:space="preserve"> de la CTD-SRL</w:t>
      </w:r>
      <w:r w:rsidRPr="00C521CA">
        <w:rPr>
          <w:rFonts w:ascii="Arial" w:hAnsi="Arial" w:cs="Arial"/>
          <w:bCs/>
        </w:rPr>
        <w:t>:</w:t>
      </w:r>
    </w:p>
    <w:p w14:paraId="6E213A66" w14:textId="77777777" w:rsidR="00CE43FB" w:rsidRPr="00C521CA" w:rsidRDefault="00CE43FB" w:rsidP="00C521CA">
      <w:pPr>
        <w:pStyle w:val="Sinespaciado"/>
        <w:ind w:left="-340"/>
        <w:jc w:val="both"/>
        <w:rPr>
          <w:rFonts w:ascii="Arial" w:hAnsi="Arial" w:cs="Arial"/>
          <w:bCs/>
        </w:rPr>
      </w:pPr>
    </w:p>
    <w:p w14:paraId="0BCA48FA"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Velar por la atención y gestión oportuna de los expedientes de afiliados que reclaman la certificación para acceder a una indemnización o pensión por discapacidad</w:t>
      </w:r>
    </w:p>
    <w:p w14:paraId="6A5E6447"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 xml:space="preserve">Garantizar que los expedientes sean </w:t>
      </w:r>
      <w:r w:rsidRPr="00C521CA">
        <w:rPr>
          <w:rFonts w:ascii="Arial" w:hAnsi="Arial" w:cs="Arial"/>
          <w:b/>
        </w:rPr>
        <w:t>digitalizados</w:t>
      </w:r>
      <w:r w:rsidRPr="00C521CA">
        <w:rPr>
          <w:rFonts w:ascii="Arial" w:hAnsi="Arial" w:cs="Arial"/>
          <w:bCs/>
        </w:rPr>
        <w:t xml:space="preserve"> y que los integrantes de la CTD-SRL puedan tener acceso a la plataforma Informática determinada para tales fines, de manera eficiente y efectiva, así como, velar porque la misma se ajuste a las necesidades y exigencias del Sistema.</w:t>
      </w:r>
    </w:p>
    <w:p w14:paraId="4239E03E"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Señalar un suplente, cuando así lo considere, para presidir las sesiones de trabajo de la Comisión Técnica de la Discapacidad</w:t>
      </w:r>
    </w:p>
    <w:p w14:paraId="415C8C4E"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Responsabilizar el área misional y los técnicos responsables de la SISALRIL que coordinarán la gestión del proceso de la certificación de la discapacidad</w:t>
      </w:r>
    </w:p>
    <w:p w14:paraId="167F67C0"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Garantizar que las informaciones lleguen de manera oportuna a los miembros de la CTD-SRL previo a las sesiones de trabajo</w:t>
      </w:r>
    </w:p>
    <w:p w14:paraId="30BBFB4E"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Proponer al CNSS aspectos de mejora o no contemplados en la Ley y normativas que contribuyan a mejorar, trazar normas y criterios relacionados a la calificación de la discapacidad para el Seguro de Riesgos Laborales.</w:t>
      </w:r>
    </w:p>
    <w:p w14:paraId="36A4AEE9" w14:textId="77777777" w:rsidR="00CE43FB" w:rsidRPr="00C521CA" w:rsidRDefault="00CE43FB" w:rsidP="00C521CA">
      <w:pPr>
        <w:pStyle w:val="Sinespaciado"/>
        <w:ind w:left="-340"/>
        <w:jc w:val="both"/>
        <w:rPr>
          <w:rFonts w:ascii="Arial" w:hAnsi="Arial" w:cs="Arial"/>
          <w:bCs/>
        </w:rPr>
      </w:pPr>
    </w:p>
    <w:p w14:paraId="6B5D55E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Art.10</w:t>
      </w:r>
      <w:r w:rsidRPr="00C521CA">
        <w:rPr>
          <w:rFonts w:ascii="Arial" w:hAnsi="Arial" w:cs="Arial"/>
          <w:bCs/>
        </w:rPr>
        <w:t xml:space="preserve">.- Serán funciones de la </w:t>
      </w:r>
      <w:r w:rsidRPr="00C521CA">
        <w:rPr>
          <w:rFonts w:ascii="Arial" w:hAnsi="Arial" w:cs="Arial"/>
          <w:b/>
        </w:rPr>
        <w:t>Coordinación Técnica de la CTD-SRL</w:t>
      </w:r>
      <w:r w:rsidRPr="00C521CA">
        <w:rPr>
          <w:rFonts w:ascii="Arial" w:hAnsi="Arial" w:cs="Arial"/>
          <w:bCs/>
        </w:rPr>
        <w:t>:</w:t>
      </w:r>
    </w:p>
    <w:p w14:paraId="76B4A17B" w14:textId="77777777" w:rsidR="00CE43FB" w:rsidRPr="00C521CA" w:rsidRDefault="00CE43FB" w:rsidP="00C521CA">
      <w:pPr>
        <w:pStyle w:val="Sinespaciado"/>
        <w:ind w:left="-340"/>
        <w:jc w:val="both"/>
        <w:rPr>
          <w:rFonts w:ascii="Arial" w:hAnsi="Arial" w:cs="Arial"/>
          <w:bCs/>
        </w:rPr>
      </w:pPr>
    </w:p>
    <w:p w14:paraId="0AA3D88F"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Recibir los expedientes enviados por Comisiones Médicas Regionales y revisar que los mismos estén digitalizados, completos, registrarlos y agendarles una fecha para su conocimiento.</w:t>
      </w:r>
    </w:p>
    <w:p w14:paraId="4AB79694"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 xml:space="preserve">Vigilar que los miembros de la CTD-SRL tengan acceso oportuno al Sistema Informático. </w:t>
      </w:r>
    </w:p>
    <w:p w14:paraId="00188130"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Remitir por las vías establecidas y con las garantías de confidencialidad los expedientes a conocerse en cada sesión de trabajo con el tiempo suficiente para ser estudiado por los miembros de la CTD-SRL</w:t>
      </w:r>
    </w:p>
    <w:p w14:paraId="4720C49C"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Agendar y convocar las sesiones de trabajo donde se conocerán los expedientes remitidos por las CMR y N</w:t>
      </w:r>
    </w:p>
    <w:p w14:paraId="4F237B06"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Levantar las minutas de cada sesión de trabajo y presentar en la apertura de la próxima sesión de trabajo a los miembros de la CTD-SRL, para su conformidad.</w:t>
      </w:r>
    </w:p>
    <w:p w14:paraId="1F33814E"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Atender las instrucciones emanadas del consenso de la CTD-SRL</w:t>
      </w:r>
    </w:p>
    <w:p w14:paraId="15F444F0"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Remitir al IDOPPRIL en el marco del proceso la lista de usuarios no objetados y/o certificados por la CTD-SRL para aplicar el baremo económico y otorgar los beneficios económicos, si así aplicaren.</w:t>
      </w:r>
    </w:p>
    <w:p w14:paraId="5705561F"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Resguardar el registro de las informaciones, analizar y elaborar informes.</w:t>
      </w:r>
    </w:p>
    <w:p w14:paraId="02C5C02D"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Colaborar como enlace en el Sistema de Gestión de Beneficios en cuanto al proceso de certificación.</w:t>
      </w:r>
    </w:p>
    <w:p w14:paraId="776A3AD0"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Elaborar un programa de inducción e impartir dicha inducción a los nuevos miembros de la CTD-SRL.</w:t>
      </w:r>
    </w:p>
    <w:p w14:paraId="415F2DCF"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Presentar un informe anual de resultados de la gestión CTD-SRL.</w:t>
      </w:r>
    </w:p>
    <w:p w14:paraId="7B6D2C7F" w14:textId="77777777" w:rsidR="00CE43FB" w:rsidRPr="00C521CA" w:rsidRDefault="00CE43FB" w:rsidP="00C521CA">
      <w:pPr>
        <w:pStyle w:val="Sinespaciado"/>
        <w:ind w:left="-340"/>
        <w:jc w:val="both"/>
        <w:rPr>
          <w:rFonts w:ascii="Arial" w:hAnsi="Arial" w:cs="Arial"/>
          <w:bCs/>
        </w:rPr>
      </w:pPr>
    </w:p>
    <w:p w14:paraId="2650FD39"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Las sesiones de trabajo se realizará sobre un quórum por mayoría y podrán ser acordadas vía virtual, presencial o híbrida.</w:t>
      </w:r>
    </w:p>
    <w:p w14:paraId="0C0F3B91" w14:textId="77777777" w:rsidR="00CE43FB" w:rsidRPr="00C521CA" w:rsidRDefault="00CE43FB" w:rsidP="00C521CA">
      <w:pPr>
        <w:pStyle w:val="Sinespaciado"/>
        <w:ind w:left="-340"/>
        <w:jc w:val="both"/>
        <w:rPr>
          <w:rFonts w:ascii="Arial" w:hAnsi="Arial" w:cs="Arial"/>
          <w:bCs/>
        </w:rPr>
      </w:pPr>
    </w:p>
    <w:p w14:paraId="3F6CE49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Art.11</w:t>
      </w:r>
      <w:r w:rsidRPr="00C521CA">
        <w:rPr>
          <w:rFonts w:ascii="Arial" w:hAnsi="Arial" w:cs="Arial"/>
          <w:bCs/>
        </w:rPr>
        <w:t xml:space="preserve">.- Serán funciones de los </w:t>
      </w:r>
      <w:r w:rsidRPr="00C521CA">
        <w:rPr>
          <w:rFonts w:ascii="Arial" w:hAnsi="Arial" w:cs="Arial"/>
          <w:b/>
        </w:rPr>
        <w:t>miembros de la CTD-SRL:</w:t>
      </w:r>
    </w:p>
    <w:p w14:paraId="4F898609" w14:textId="77777777" w:rsidR="00CE43FB" w:rsidRPr="00C521CA" w:rsidRDefault="00CE43FB" w:rsidP="00C521CA">
      <w:pPr>
        <w:pStyle w:val="Sinespaciado"/>
        <w:ind w:left="-340"/>
        <w:jc w:val="both"/>
        <w:rPr>
          <w:rFonts w:ascii="Arial" w:hAnsi="Arial" w:cs="Arial"/>
          <w:bCs/>
        </w:rPr>
      </w:pPr>
    </w:p>
    <w:p w14:paraId="69E7EEAB"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 xml:space="preserve">Asistir a las convocatorias de las sesiones de trabajo. </w:t>
      </w:r>
    </w:p>
    <w:p w14:paraId="01BC0971"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Conocer previamente cada expediente y validar su apego al baremo médico para la discapacidad del SDSS (Manual de Evaluación y Calificación de la Discapacidad) antes de referirlo al IDOPPRIL para la no objeción de esta y/o el afiliado</w:t>
      </w:r>
    </w:p>
    <w:p w14:paraId="25C2D612" w14:textId="77777777" w:rsidR="00CE43FB" w:rsidRPr="00C521CA" w:rsidRDefault="00CE43FB" w:rsidP="00C521CA">
      <w:pPr>
        <w:pStyle w:val="Sinespaciado"/>
        <w:ind w:left="-340"/>
        <w:jc w:val="both"/>
        <w:rPr>
          <w:rFonts w:ascii="Arial" w:hAnsi="Arial" w:cs="Arial"/>
          <w:bCs/>
        </w:rPr>
      </w:pPr>
    </w:p>
    <w:p w14:paraId="3E9B35DA"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Siendo el IDOPPRIL quien se encarga de administrar el Seguro de Riesgos Laborales y miembro de la CTD-SRL, podrá solicitar en el pleno de la reunión la remisión de un expediente a la CMN o; en su defecto, dentro del mismo plazo de apelación establecido para el afiliado.</w:t>
      </w:r>
    </w:p>
    <w:p w14:paraId="636DB759" w14:textId="77777777" w:rsidR="00CE43FB" w:rsidRPr="00C521CA" w:rsidRDefault="00CE43FB" w:rsidP="00C521CA">
      <w:pPr>
        <w:pStyle w:val="Sinespaciado"/>
        <w:ind w:left="-340" w:hanging="720"/>
        <w:jc w:val="both"/>
        <w:rPr>
          <w:rFonts w:ascii="Arial" w:hAnsi="Arial" w:cs="Arial"/>
          <w:bCs/>
        </w:rPr>
      </w:pPr>
    </w:p>
    <w:p w14:paraId="031FB24B"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Tratar con confidencialidad las informaciones relacionadas a los afiliados que reclaman una prestación económica.</w:t>
      </w:r>
    </w:p>
    <w:p w14:paraId="72079C5E"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Avalar o disentir sobre los casos presentados para la certificación de la discapacidad permanente</w:t>
      </w:r>
    </w:p>
    <w:p w14:paraId="2906BA0A"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Aprobar las actas de las sesiones de trabajo realizadas, elaboradas y propuestas por la CT-CTD-SRL</w:t>
      </w:r>
    </w:p>
    <w:p w14:paraId="021BCDCE"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 xml:space="preserve">Colaborar, conocer o pronunciarse sobre normas, criterios y propuestas de mejora al sistema de evaluación, calificación y valoración de la discapacidad permanente </w:t>
      </w:r>
    </w:p>
    <w:p w14:paraId="7FB305D7" w14:textId="77777777" w:rsidR="00CE43FB" w:rsidRPr="00C521CA" w:rsidRDefault="00CE43FB" w:rsidP="00C521CA">
      <w:pPr>
        <w:pStyle w:val="Sinespaciado"/>
        <w:ind w:left="-340"/>
        <w:jc w:val="both"/>
        <w:rPr>
          <w:rFonts w:ascii="Arial" w:hAnsi="Arial" w:cs="Arial"/>
          <w:bCs/>
        </w:rPr>
      </w:pPr>
    </w:p>
    <w:p w14:paraId="11F3F72E" w14:textId="77777777" w:rsidR="00CE43FB" w:rsidRPr="00C521CA" w:rsidRDefault="00CE43FB" w:rsidP="00C521CA">
      <w:pPr>
        <w:pStyle w:val="Sinespaciado"/>
        <w:ind w:left="-340"/>
        <w:jc w:val="both"/>
        <w:rPr>
          <w:rFonts w:ascii="Arial" w:hAnsi="Arial" w:cs="Arial"/>
          <w:bCs/>
        </w:rPr>
      </w:pPr>
    </w:p>
    <w:p w14:paraId="575E63AB" w14:textId="77777777" w:rsidR="00CE43FB" w:rsidRPr="00C521CA" w:rsidRDefault="00CE43FB" w:rsidP="00C521CA">
      <w:pPr>
        <w:pStyle w:val="Sinespaciado"/>
        <w:ind w:left="-340"/>
        <w:jc w:val="center"/>
        <w:rPr>
          <w:rFonts w:ascii="Arial" w:hAnsi="Arial" w:cs="Arial"/>
          <w:b/>
        </w:rPr>
      </w:pPr>
      <w:r w:rsidRPr="00C521CA">
        <w:rPr>
          <w:rFonts w:ascii="Arial" w:hAnsi="Arial" w:cs="Arial"/>
          <w:b/>
        </w:rPr>
        <w:t>CAPÍTULO III.</w:t>
      </w:r>
      <w:r w:rsidRPr="00C521CA">
        <w:rPr>
          <w:rFonts w:ascii="Arial" w:hAnsi="Arial" w:cs="Arial"/>
          <w:bCs/>
        </w:rPr>
        <w:t xml:space="preserve">   </w:t>
      </w:r>
      <w:r w:rsidRPr="00C521CA">
        <w:rPr>
          <w:rFonts w:ascii="Arial" w:hAnsi="Arial" w:cs="Arial"/>
          <w:b/>
        </w:rPr>
        <w:t>Del proceso de Certificación por la CTD-SRL.</w:t>
      </w:r>
    </w:p>
    <w:p w14:paraId="5B228DA8" w14:textId="77777777" w:rsidR="00CE43FB" w:rsidRPr="00C521CA" w:rsidRDefault="00CE43FB" w:rsidP="00C521CA">
      <w:pPr>
        <w:pStyle w:val="Sinespaciado"/>
        <w:ind w:left="-340"/>
        <w:jc w:val="both"/>
        <w:rPr>
          <w:rFonts w:ascii="Arial" w:hAnsi="Arial" w:cs="Arial"/>
          <w:bCs/>
        </w:rPr>
      </w:pPr>
    </w:p>
    <w:p w14:paraId="57A14D8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12.</w:t>
      </w:r>
      <w:r w:rsidRPr="00C521CA">
        <w:rPr>
          <w:rFonts w:ascii="Arial" w:hAnsi="Arial" w:cs="Arial"/>
          <w:bCs/>
        </w:rPr>
        <w:t xml:space="preserve">  </w:t>
      </w:r>
      <w:r w:rsidRPr="00C521CA">
        <w:rPr>
          <w:rFonts w:ascii="Arial" w:hAnsi="Arial" w:cs="Arial"/>
          <w:b/>
          <w:bCs/>
        </w:rPr>
        <w:t>De la agenda de trabajo.</w:t>
      </w:r>
      <w:r w:rsidRPr="00C521CA">
        <w:rPr>
          <w:rFonts w:ascii="Arial" w:hAnsi="Arial" w:cs="Arial"/>
          <w:bCs/>
        </w:rPr>
        <w:t xml:space="preserve"> La CTD-SRL sesionará por convocatoria del presidente. La frecuencia de estas sesiones de trabajo se realizará Dos (2) veces al mes de manera ordinaria, es decir, cada Quince (15) días.</w:t>
      </w:r>
    </w:p>
    <w:p w14:paraId="62274825" w14:textId="77777777" w:rsidR="00CE43FB" w:rsidRPr="00C521CA" w:rsidRDefault="00CE43FB" w:rsidP="00C521CA">
      <w:pPr>
        <w:pStyle w:val="Sinespaciado"/>
        <w:ind w:left="-340"/>
        <w:jc w:val="both"/>
        <w:rPr>
          <w:rFonts w:ascii="Arial" w:hAnsi="Arial" w:cs="Arial"/>
          <w:bCs/>
        </w:rPr>
      </w:pPr>
    </w:p>
    <w:p w14:paraId="18079E11"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Cuando la demanda lo requiera, podrá convocarse una reunión extraordinaria propuesta a través de la presidencia de la CTD-SRL. En todos los casos, mientras exista al menos una reclamación de un usuario, la convocatoria de sesiones de trabajo no se extenderá más allá de 20 días hábiles para el conocimiento de los expedientes y/o su certificación.</w:t>
      </w:r>
    </w:p>
    <w:p w14:paraId="7747B7DB" w14:textId="77777777" w:rsidR="00CE43FB" w:rsidRPr="00C521CA" w:rsidRDefault="00CE43FB" w:rsidP="00C521CA">
      <w:pPr>
        <w:pStyle w:val="Sinespaciado"/>
        <w:ind w:left="-340"/>
        <w:jc w:val="both"/>
        <w:rPr>
          <w:rFonts w:ascii="Arial" w:hAnsi="Arial" w:cs="Arial"/>
          <w:bCs/>
        </w:rPr>
      </w:pPr>
    </w:p>
    <w:p w14:paraId="156549EB"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13.-</w:t>
      </w:r>
      <w:r w:rsidRPr="00C521CA">
        <w:rPr>
          <w:rFonts w:ascii="Arial" w:hAnsi="Arial" w:cs="Arial"/>
          <w:bCs/>
        </w:rPr>
        <w:t xml:space="preserve"> La SISALRIL, en las funciones de Coordinación Técnica, revisará que todo expediente remitido por las Comisiones Médica Regionales (CMR) esté completo, previo a su remisión a los miembros de la CTD-SRL y; gestionará que el acceso de las informaciones se realice bajo acuerdo de confidencialidad, sin importar la modalidad o nivel de automatización.</w:t>
      </w:r>
    </w:p>
    <w:p w14:paraId="69D16B80" w14:textId="77777777" w:rsidR="00CE43FB" w:rsidRPr="00C521CA" w:rsidRDefault="00CE43FB" w:rsidP="00C521CA">
      <w:pPr>
        <w:pStyle w:val="Sinespaciado"/>
        <w:ind w:left="-340"/>
        <w:jc w:val="both"/>
        <w:rPr>
          <w:rFonts w:ascii="Arial" w:hAnsi="Arial" w:cs="Arial"/>
          <w:bCs/>
        </w:rPr>
      </w:pPr>
    </w:p>
    <w:p w14:paraId="2215F10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La CT-CTD/SRL, vigilará que nuevos representantes sean señalados de manera oficial por las entidades que la conforman y extenderá para la firma el acuerdo de confidencialidad al representante de la institución de que se trate.</w:t>
      </w:r>
    </w:p>
    <w:p w14:paraId="3ECB9598" w14:textId="77777777" w:rsidR="00CE43FB" w:rsidRPr="00C521CA" w:rsidRDefault="00CE43FB" w:rsidP="00C521CA">
      <w:pPr>
        <w:pStyle w:val="Sinespaciado"/>
        <w:ind w:left="-340"/>
        <w:jc w:val="both"/>
        <w:rPr>
          <w:rFonts w:ascii="Arial" w:hAnsi="Arial" w:cs="Arial"/>
          <w:bCs/>
        </w:rPr>
      </w:pPr>
    </w:p>
    <w:p w14:paraId="2336C714"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Durante las sesiones de trabajo, los expedientes provenientes de las CMR y ya con un dictamen serán presentados y conocidos de manera individual, velando por la debida aplicación del manual con imparcialidad. Cuando no exista un consenso, las decisiones se tomarán por mayoría de los presentes.</w:t>
      </w:r>
    </w:p>
    <w:p w14:paraId="07802276" w14:textId="77777777" w:rsidR="00CE43FB" w:rsidRPr="00C521CA" w:rsidRDefault="00CE43FB" w:rsidP="00C521CA">
      <w:pPr>
        <w:pStyle w:val="Sinespaciado"/>
        <w:ind w:left="-340"/>
        <w:jc w:val="both"/>
        <w:rPr>
          <w:rFonts w:ascii="Arial" w:hAnsi="Arial" w:cs="Arial"/>
          <w:bCs/>
        </w:rPr>
      </w:pPr>
    </w:p>
    <w:p w14:paraId="59B6B453"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III:</w:t>
      </w:r>
      <w:r w:rsidRPr="00C521CA">
        <w:rPr>
          <w:rFonts w:ascii="Arial" w:hAnsi="Arial" w:cs="Arial"/>
          <w:bCs/>
        </w:rPr>
        <w:t xml:space="preserve"> Los casos que presenten una discapacidad igual o superior al sesenta y siete por ciento (67%) y/o condiciones de salud que pudieran poner en riesgo la vida del afiliado (a), serán conocidos con carácter de urgencia, en función de su complejidad. </w:t>
      </w:r>
    </w:p>
    <w:p w14:paraId="5130BB7A" w14:textId="77777777" w:rsidR="00CE43FB" w:rsidRPr="00C521CA" w:rsidRDefault="00CE43FB" w:rsidP="00C521CA">
      <w:pPr>
        <w:pStyle w:val="Sinespaciado"/>
        <w:ind w:left="-340"/>
        <w:jc w:val="both"/>
        <w:rPr>
          <w:rFonts w:ascii="Arial" w:hAnsi="Arial" w:cs="Arial"/>
          <w:b/>
        </w:rPr>
      </w:pPr>
    </w:p>
    <w:p w14:paraId="559523AA"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IV:</w:t>
      </w:r>
      <w:r w:rsidRPr="00C521CA">
        <w:rPr>
          <w:rFonts w:ascii="Arial" w:hAnsi="Arial" w:cs="Arial"/>
          <w:bCs/>
        </w:rPr>
        <w:t xml:space="preserve"> Cuando el expediente no presente objeción por la CTD-SRL será remitido a través de la SISALRIL al IDOPPRIL para los fines de informar al afiliado, atendiendo los tiempos para su no conformidad y apelación.</w:t>
      </w:r>
    </w:p>
    <w:p w14:paraId="5586239F" w14:textId="77777777" w:rsidR="00CE43FB" w:rsidRPr="00C521CA" w:rsidRDefault="00CE43FB" w:rsidP="00C521CA">
      <w:pPr>
        <w:pStyle w:val="Sinespaciado"/>
        <w:ind w:left="-340"/>
        <w:jc w:val="both"/>
        <w:rPr>
          <w:rFonts w:ascii="Arial" w:hAnsi="Arial" w:cs="Arial"/>
          <w:bCs/>
        </w:rPr>
      </w:pPr>
    </w:p>
    <w:p w14:paraId="16117610" w14:textId="77777777" w:rsidR="00CE43FB" w:rsidRPr="00C521CA" w:rsidRDefault="00CE43FB" w:rsidP="00C521CA">
      <w:pPr>
        <w:pStyle w:val="Sinespaciado"/>
        <w:ind w:left="-340"/>
        <w:jc w:val="both"/>
        <w:rPr>
          <w:rFonts w:ascii="Arial" w:hAnsi="Arial" w:cs="Arial"/>
          <w:bCs/>
        </w:rPr>
      </w:pPr>
      <w:r w:rsidRPr="00C521CA">
        <w:rPr>
          <w:rFonts w:ascii="Arial" w:hAnsi="Arial" w:cs="Arial"/>
          <w:bCs/>
        </w:rPr>
        <w:t>Cuando el afiliado esté conforme, el IDOPPRIL devolverá a la CTD-SRL vía la SISALRIL la no objeción del afiliado y de su parte, para fines de certificar el grado porcentual de la pérdida de capacidad laboral.</w:t>
      </w:r>
    </w:p>
    <w:p w14:paraId="36EAFB7C" w14:textId="77777777" w:rsidR="00CE43FB" w:rsidRPr="00C521CA" w:rsidRDefault="00CE43FB" w:rsidP="00C521CA">
      <w:pPr>
        <w:pStyle w:val="Sinespaciado"/>
        <w:ind w:left="-340"/>
        <w:jc w:val="both"/>
        <w:rPr>
          <w:rFonts w:ascii="Arial" w:hAnsi="Arial" w:cs="Arial"/>
          <w:bCs/>
        </w:rPr>
      </w:pPr>
    </w:p>
    <w:p w14:paraId="6FBE9C4F" w14:textId="77777777" w:rsidR="00CE43FB" w:rsidRPr="00C521CA" w:rsidRDefault="00CE43FB" w:rsidP="00C521CA">
      <w:pPr>
        <w:pStyle w:val="Sinespaciado"/>
        <w:ind w:left="-340"/>
        <w:jc w:val="both"/>
        <w:rPr>
          <w:rFonts w:ascii="Arial" w:hAnsi="Arial" w:cs="Arial"/>
          <w:bCs/>
        </w:rPr>
      </w:pPr>
      <w:r w:rsidRPr="00C521CA">
        <w:rPr>
          <w:rFonts w:ascii="Arial" w:hAnsi="Arial" w:cs="Arial"/>
          <w:bCs/>
        </w:rPr>
        <w:t>Cuando una de las partes manifieste inconformidad, será el IDOPPRIL quien curse directamente el caso a la CMN en un plazo no mayor a 48 horas y copiando a la SISALRIL con atención a la CTD-SRL.</w:t>
      </w:r>
    </w:p>
    <w:p w14:paraId="7E7F81D9" w14:textId="77777777" w:rsidR="00CE43FB" w:rsidRPr="00C521CA" w:rsidRDefault="00CE43FB" w:rsidP="00C521CA">
      <w:pPr>
        <w:pStyle w:val="Sinespaciado"/>
        <w:ind w:left="-340"/>
        <w:jc w:val="both"/>
        <w:rPr>
          <w:rFonts w:ascii="Arial" w:hAnsi="Arial" w:cs="Arial"/>
          <w:bCs/>
        </w:rPr>
      </w:pPr>
    </w:p>
    <w:p w14:paraId="7CA56B79"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14.-:</w:t>
      </w:r>
      <w:r w:rsidRPr="00C521CA">
        <w:rPr>
          <w:rFonts w:ascii="Arial" w:hAnsi="Arial" w:cs="Arial"/>
          <w:bCs/>
        </w:rPr>
        <w:t xml:space="preserve"> Las sesiones de trabajo deben asegurar un quórum de la mitad más uno y, ser recogidas en una minuta y/o grabación la cual será sometida en la próxima sesión de trabajo para su aprobación.</w:t>
      </w:r>
    </w:p>
    <w:p w14:paraId="7118F4B8" w14:textId="77777777" w:rsidR="00CE43FB" w:rsidRPr="00C521CA" w:rsidRDefault="00CE43FB" w:rsidP="00C521CA">
      <w:pPr>
        <w:pStyle w:val="Sinespaciado"/>
        <w:ind w:left="-340"/>
        <w:jc w:val="both"/>
        <w:rPr>
          <w:rFonts w:ascii="Arial" w:hAnsi="Arial" w:cs="Arial"/>
          <w:bCs/>
        </w:rPr>
      </w:pPr>
    </w:p>
    <w:p w14:paraId="6571291C"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xml:space="preserve"> La CT-CTD/SRL llevará el registro de la gestión de la CTD-SRL y; atenderá las disposiciones que se generen por consenso o mayoría.</w:t>
      </w:r>
    </w:p>
    <w:p w14:paraId="4142F129" w14:textId="77777777" w:rsidR="00CE43FB" w:rsidRPr="00C521CA" w:rsidRDefault="00CE43FB" w:rsidP="00C521CA">
      <w:pPr>
        <w:pStyle w:val="Sinespaciado"/>
        <w:ind w:left="-340"/>
        <w:jc w:val="both"/>
        <w:rPr>
          <w:rFonts w:ascii="Arial" w:hAnsi="Arial" w:cs="Arial"/>
          <w:bCs/>
        </w:rPr>
      </w:pPr>
    </w:p>
    <w:p w14:paraId="402A9181"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xml:space="preserve"> Los expedientes observados por la CTD-SRL serán devueltos a través de la CT-CTD/SRL a la CMR, atendiendo a los plazos en el marco del procedimiento administrativo </w:t>
      </w:r>
      <w:proofErr w:type="spellStart"/>
      <w:r w:rsidRPr="00C521CA">
        <w:rPr>
          <w:rFonts w:ascii="Arial" w:hAnsi="Arial" w:cs="Arial"/>
          <w:bCs/>
        </w:rPr>
        <w:t>CMRyN</w:t>
      </w:r>
      <w:proofErr w:type="spellEnd"/>
      <w:r w:rsidRPr="00C521CA">
        <w:rPr>
          <w:rFonts w:ascii="Arial" w:hAnsi="Arial" w:cs="Arial"/>
          <w:bCs/>
        </w:rPr>
        <w:t>.</w:t>
      </w:r>
    </w:p>
    <w:p w14:paraId="3C1CD303" w14:textId="77777777" w:rsidR="00CE43FB" w:rsidRPr="00C521CA" w:rsidRDefault="00CE43FB" w:rsidP="00C521CA">
      <w:pPr>
        <w:pStyle w:val="Sinespaciado"/>
        <w:ind w:left="-340"/>
        <w:jc w:val="both"/>
        <w:rPr>
          <w:rFonts w:ascii="Arial" w:hAnsi="Arial" w:cs="Arial"/>
          <w:bCs/>
        </w:rPr>
      </w:pPr>
    </w:p>
    <w:p w14:paraId="38D7E911"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III:</w:t>
      </w:r>
      <w:r w:rsidRPr="00C521CA">
        <w:rPr>
          <w:rFonts w:ascii="Arial" w:hAnsi="Arial" w:cs="Arial"/>
          <w:bCs/>
        </w:rPr>
        <w:t xml:space="preserve"> Cuando la CMN intervenga en el proceso (apelación); el dictamen de la CMN será el certificado por la CTD-SRL para fines de concluir con el requisito administrativo que da acceso al otorgamiento del beneficio económico, cuando así proceda sin perjuicio del derecho del afiliado de elevar un recurso en las instancias civiles correspondientes.</w:t>
      </w:r>
    </w:p>
    <w:p w14:paraId="4E14F5E2" w14:textId="77777777" w:rsidR="00CE43FB" w:rsidRPr="00C521CA" w:rsidRDefault="00CE43FB" w:rsidP="00C521CA">
      <w:pPr>
        <w:pStyle w:val="Sinespaciado"/>
        <w:ind w:left="-340"/>
        <w:jc w:val="both"/>
        <w:rPr>
          <w:rFonts w:ascii="Arial" w:hAnsi="Arial" w:cs="Arial"/>
          <w:b/>
        </w:rPr>
      </w:pPr>
    </w:p>
    <w:p w14:paraId="1529CE99"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IV:</w:t>
      </w:r>
      <w:r w:rsidRPr="00C521CA">
        <w:rPr>
          <w:rFonts w:ascii="Arial" w:hAnsi="Arial" w:cs="Arial"/>
          <w:bCs/>
        </w:rPr>
        <w:t xml:space="preserve"> Cuando el afiliado no atienda al llamado para firmar la conformidad o no conformidad; el IDOPPRIL informará a la DIDA y podrá utilizar las vías legales de la notificación, esperando por el plazo para que su discapacidad sea certificada y asentada como tal. </w:t>
      </w:r>
    </w:p>
    <w:p w14:paraId="7FE781D8" w14:textId="77777777" w:rsidR="00CE43FB" w:rsidRPr="00C521CA" w:rsidRDefault="00CE43FB" w:rsidP="00C521CA">
      <w:pPr>
        <w:pStyle w:val="Sinespaciado"/>
        <w:ind w:left="-340"/>
        <w:jc w:val="both"/>
        <w:rPr>
          <w:rFonts w:ascii="Arial" w:hAnsi="Arial" w:cs="Arial"/>
          <w:bCs/>
        </w:rPr>
      </w:pPr>
    </w:p>
    <w:p w14:paraId="6F6D397F"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Art.15-</w:t>
      </w:r>
      <w:r w:rsidRPr="00C521CA">
        <w:rPr>
          <w:rFonts w:ascii="Arial" w:hAnsi="Arial" w:cs="Arial"/>
          <w:bCs/>
        </w:rPr>
        <w:t xml:space="preserve"> La Certificación de la discapacidad permanente será extendida al Instituto Dominicano de Prevención y Protección de Riesgos Laborales</w:t>
      </w:r>
      <w:r w:rsidRPr="00C521CA" w:rsidDel="0019018E">
        <w:rPr>
          <w:rFonts w:ascii="Arial" w:hAnsi="Arial" w:cs="Arial"/>
          <w:bCs/>
        </w:rPr>
        <w:t xml:space="preserve"> </w:t>
      </w:r>
      <w:r w:rsidRPr="00C521CA">
        <w:rPr>
          <w:rFonts w:ascii="Arial" w:hAnsi="Arial" w:cs="Arial"/>
          <w:bCs/>
        </w:rPr>
        <w:t>(IDOPPRIL) por la SISALRIL y contará, al menos, con la mitad más uno de las firmas de los miembros representantes de la CTD-SRL. Cuando la reunión se realice de manera presencial las firmas serán físicas; en caso de reuniones virtuales, será refrendada durante la sesión de trabajo virtual y en las actas del día, aprobadas.</w:t>
      </w:r>
    </w:p>
    <w:p w14:paraId="4C43AB0E" w14:textId="77777777" w:rsidR="00CE43FB" w:rsidRPr="00C521CA" w:rsidRDefault="00CE43FB" w:rsidP="00C521CA">
      <w:pPr>
        <w:pStyle w:val="Sinespaciado"/>
        <w:ind w:left="-340"/>
        <w:jc w:val="both"/>
        <w:rPr>
          <w:rFonts w:ascii="Arial" w:hAnsi="Arial" w:cs="Arial"/>
          <w:bCs/>
        </w:rPr>
      </w:pPr>
    </w:p>
    <w:p w14:paraId="5B0623E8"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xml:space="preserve"> La Certificación del grado porcentual de la discapacidad permanente se emitirá mediante documento oficial por grupos conocidos (no individual) por la CTD-SRL bajo un código distintivo único de la SISALRIL, diferenciando los beneficiarios por un numeral.</w:t>
      </w:r>
    </w:p>
    <w:p w14:paraId="159C63BC" w14:textId="77777777" w:rsidR="00CE43FB" w:rsidRPr="00C521CA" w:rsidRDefault="00CE43FB" w:rsidP="00C521CA">
      <w:pPr>
        <w:pStyle w:val="Sinespaciado"/>
        <w:ind w:left="-340"/>
        <w:jc w:val="both"/>
        <w:rPr>
          <w:rFonts w:ascii="Arial" w:hAnsi="Arial" w:cs="Arial"/>
          <w:bCs/>
        </w:rPr>
      </w:pPr>
    </w:p>
    <w:p w14:paraId="2BAADEB7"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La SISALRIL creará una aplicación para la consulta del estado de certificación del expediente en su página Web.</w:t>
      </w:r>
    </w:p>
    <w:p w14:paraId="552EEDE4" w14:textId="77777777" w:rsidR="00CE43FB" w:rsidRPr="00C521CA" w:rsidRDefault="00CE43FB" w:rsidP="00C521CA">
      <w:pPr>
        <w:pStyle w:val="Sinespaciado"/>
        <w:ind w:left="-340"/>
        <w:jc w:val="both"/>
        <w:rPr>
          <w:rFonts w:ascii="Arial" w:hAnsi="Arial" w:cs="Arial"/>
          <w:bCs/>
        </w:rPr>
      </w:pPr>
    </w:p>
    <w:p w14:paraId="046934C0"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16.-</w:t>
      </w:r>
      <w:r w:rsidRPr="00C521CA">
        <w:rPr>
          <w:rFonts w:ascii="Arial" w:hAnsi="Arial" w:cs="Arial"/>
          <w:bCs/>
        </w:rPr>
        <w:t xml:space="preserve"> La Certificación oficial es el requisito administrativo final que será utilizado por el IDOPPRIL para acceder a las prestaciones económicas por discapacidad permanente, cuando así corresponda según el baremo económico para el SRL.</w:t>
      </w:r>
    </w:p>
    <w:p w14:paraId="531952F6" w14:textId="77777777" w:rsidR="00CE43FB" w:rsidRPr="00C521CA" w:rsidRDefault="00CE43FB" w:rsidP="00C521CA">
      <w:pPr>
        <w:pStyle w:val="Sinespaciado"/>
        <w:ind w:left="-340"/>
        <w:jc w:val="both"/>
        <w:rPr>
          <w:rFonts w:ascii="Arial" w:hAnsi="Arial" w:cs="Arial"/>
          <w:bCs/>
        </w:rPr>
      </w:pPr>
    </w:p>
    <w:p w14:paraId="0D907D77" w14:textId="77777777" w:rsidR="00CE43FB" w:rsidRPr="00C521CA" w:rsidRDefault="00CE43FB" w:rsidP="00CE43FB">
      <w:pPr>
        <w:pStyle w:val="Sinespaciado"/>
        <w:jc w:val="both"/>
        <w:rPr>
          <w:rFonts w:ascii="Arial" w:hAnsi="Arial" w:cs="Arial"/>
          <w:bCs/>
        </w:rPr>
      </w:pPr>
      <w:r w:rsidRPr="00C521CA">
        <w:rPr>
          <w:rFonts w:ascii="Arial" w:hAnsi="Arial" w:cs="Arial"/>
          <w:bCs/>
        </w:rPr>
        <w:t>ANEXO 1: DIAGRAMA DE FLUJO DEL PROCEDIMIENTO DE CERTIFICACIÓN</w:t>
      </w:r>
    </w:p>
    <w:p w14:paraId="7B29E664" w14:textId="77777777" w:rsidR="00CE43FB" w:rsidRPr="0011063D" w:rsidRDefault="00CE43FB" w:rsidP="00CE43FB">
      <w:pPr>
        <w:autoSpaceDE w:val="0"/>
        <w:autoSpaceDN w:val="0"/>
        <w:adjustRightInd w:val="0"/>
        <w:jc w:val="both"/>
        <w:rPr>
          <w:rFonts w:ascii="Arial" w:hAnsi="Arial" w:cs="Arial"/>
          <w:bCs/>
        </w:rPr>
      </w:pPr>
    </w:p>
    <w:p w14:paraId="16D4CB8B" w14:textId="3D568130" w:rsidR="00252E35" w:rsidRPr="00D84121" w:rsidRDefault="00CE43FB" w:rsidP="00F95164">
      <w:pPr>
        <w:ind w:left="-340"/>
        <w:jc w:val="both"/>
        <w:rPr>
          <w:rFonts w:ascii="Arial" w:hAnsi="Arial" w:cs="Arial"/>
          <w:sz w:val="16"/>
          <w:szCs w:val="16"/>
          <w:lang w:val="en-US"/>
        </w:rPr>
      </w:pPr>
      <w:r w:rsidRPr="0011063D">
        <w:rPr>
          <w:rFonts w:ascii="Arial" w:hAnsi="Arial" w:cs="Arial"/>
          <w:bCs/>
          <w:noProof/>
        </w:rPr>
        <w:drawing>
          <wp:inline distT="0" distB="0" distL="0" distR="0" wp14:anchorId="3DB27EE7" wp14:editId="03BB32F9">
            <wp:extent cx="5943600" cy="5058718"/>
            <wp:effectExtent l="0" t="0" r="0" b="8890"/>
            <wp:docPr id="1918264524" name="Picture 1"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64524" name="Picture 1" descr="A diagram of a document&#10;&#10;Description automatically generated"/>
                    <pic:cNvPicPr/>
                  </pic:nvPicPr>
                  <pic:blipFill>
                    <a:blip r:embed="rId11"/>
                    <a:stretch>
                      <a:fillRect/>
                    </a:stretch>
                  </pic:blipFill>
                  <pic:spPr>
                    <a:xfrm>
                      <a:off x="0" y="0"/>
                      <a:ext cx="5943600" cy="5058718"/>
                    </a:xfrm>
                    <a:prstGeom prst="rect">
                      <a:avLst/>
                    </a:prstGeom>
                  </pic:spPr>
                </pic:pic>
              </a:graphicData>
            </a:graphic>
          </wp:inline>
        </w:drawing>
      </w:r>
    </w:p>
    <w:sectPr w:rsidR="00252E35" w:rsidRPr="00D84121" w:rsidSect="00583B9F">
      <w:headerReference w:type="default" r:id="rId12"/>
      <w:footerReference w:type="default" r:id="rId13"/>
      <w:pgSz w:w="12240" w:h="15840"/>
      <w:pgMar w:top="1417" w:right="1701" w:bottom="1417" w:left="1701"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CC0A" w14:textId="77777777" w:rsidR="002C211A" w:rsidRDefault="002C211A" w:rsidP="00DD5055">
      <w:r>
        <w:separator/>
      </w:r>
    </w:p>
  </w:endnote>
  <w:endnote w:type="continuationSeparator" w:id="0">
    <w:p w14:paraId="18A9019F" w14:textId="77777777" w:rsidR="002C211A" w:rsidRDefault="002C211A" w:rsidP="00DD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379772"/>
      <w:docPartObj>
        <w:docPartGallery w:val="Page Numbers (Bottom of Page)"/>
        <w:docPartUnique/>
      </w:docPartObj>
    </w:sdtPr>
    <w:sdtEndPr/>
    <w:sdtContent>
      <w:p w14:paraId="1EF2DB41" w14:textId="1C49B984" w:rsidR="00BC201B" w:rsidRDefault="00BC201B">
        <w:pPr>
          <w:pStyle w:val="Piedepgina"/>
          <w:jc w:val="right"/>
        </w:pPr>
        <w:r>
          <w:fldChar w:fldCharType="begin"/>
        </w:r>
        <w:r>
          <w:instrText>PAGE   \* MERGEFORMAT</w:instrText>
        </w:r>
        <w:r>
          <w:fldChar w:fldCharType="separate"/>
        </w:r>
        <w:r w:rsidR="008E5E47">
          <w:rPr>
            <w:noProof/>
          </w:rPr>
          <w:t>9</w:t>
        </w:r>
        <w:r>
          <w:fldChar w:fldCharType="end"/>
        </w:r>
      </w:p>
    </w:sdtContent>
  </w:sdt>
  <w:p w14:paraId="65D21F55" w14:textId="77777777" w:rsidR="00BC201B" w:rsidRPr="00EA4ADC" w:rsidRDefault="00BC201B" w:rsidP="00D971FC">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AB4D" w14:textId="77777777" w:rsidR="002C211A" w:rsidRDefault="002C211A" w:rsidP="00DD5055">
      <w:r>
        <w:separator/>
      </w:r>
    </w:p>
  </w:footnote>
  <w:footnote w:type="continuationSeparator" w:id="0">
    <w:p w14:paraId="10247456" w14:textId="77777777" w:rsidR="002C211A" w:rsidRDefault="002C211A" w:rsidP="00DD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5D7D" w14:textId="77777777" w:rsidR="00BC201B" w:rsidRDefault="00BC201B" w:rsidP="00DD5055">
    <w:pPr>
      <w:jc w:val="center"/>
      <w:rPr>
        <w:sz w:val="20"/>
        <w:lang w:val="es-DO"/>
      </w:rPr>
    </w:pPr>
  </w:p>
  <w:p w14:paraId="471F52C9" w14:textId="77777777" w:rsidR="00BC201B" w:rsidRDefault="00BC201B" w:rsidP="00DD5055">
    <w:pPr>
      <w:jc w:val="center"/>
      <w:rPr>
        <w:noProof/>
        <w:lang w:val="en-US" w:eastAsia="en-US"/>
      </w:rPr>
    </w:pPr>
  </w:p>
  <w:p w14:paraId="17B7C2B6" w14:textId="77777777" w:rsidR="00BC201B" w:rsidRDefault="00BC201B" w:rsidP="00DD5055">
    <w:pPr>
      <w:jc w:val="center"/>
      <w:rPr>
        <w:sz w:val="20"/>
        <w:lang w:val="es-DO"/>
      </w:rPr>
    </w:pPr>
    <w:r>
      <w:rPr>
        <w:noProof/>
        <w:lang w:val="en-US" w:eastAsia="en-US"/>
      </w:rPr>
      <w:drawing>
        <wp:anchor distT="0" distB="0" distL="114300" distR="114300" simplePos="0" relativeHeight="251658240" behindDoc="1" locked="0" layoutInCell="1" allowOverlap="1" wp14:anchorId="699CD89A" wp14:editId="412E736C">
          <wp:simplePos x="0" y="0"/>
          <wp:positionH relativeFrom="margin">
            <wp:align>center</wp:align>
          </wp:positionH>
          <wp:positionV relativeFrom="paragraph">
            <wp:posOffset>4445</wp:posOffset>
          </wp:positionV>
          <wp:extent cx="1511341" cy="902123"/>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NSS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41" cy="902123"/>
                  </a:xfrm>
                  <a:prstGeom prst="rect">
                    <a:avLst/>
                  </a:prstGeom>
                </pic:spPr>
              </pic:pic>
            </a:graphicData>
          </a:graphic>
          <wp14:sizeRelH relativeFrom="page">
            <wp14:pctWidth>0</wp14:pctWidth>
          </wp14:sizeRelH>
          <wp14:sizeRelV relativeFrom="page">
            <wp14:pctHeight>0</wp14:pctHeight>
          </wp14:sizeRelV>
        </wp:anchor>
      </w:drawing>
    </w:r>
  </w:p>
  <w:p w14:paraId="7FB583D9" w14:textId="77777777" w:rsidR="00BC201B" w:rsidRDefault="00BC201B" w:rsidP="00DD5055">
    <w:pPr>
      <w:jc w:val="center"/>
      <w:rPr>
        <w:sz w:val="20"/>
        <w:lang w:val="es-DO"/>
      </w:rPr>
    </w:pPr>
  </w:p>
  <w:p w14:paraId="719023D3" w14:textId="77777777" w:rsidR="00BC201B" w:rsidRDefault="00BC201B" w:rsidP="00DD5055">
    <w:pPr>
      <w:jc w:val="center"/>
      <w:rPr>
        <w:sz w:val="20"/>
        <w:lang w:val="es-DO"/>
      </w:rPr>
    </w:pPr>
  </w:p>
  <w:p w14:paraId="41BB4991" w14:textId="77777777" w:rsidR="00BC201B" w:rsidRDefault="00BC201B" w:rsidP="00DD5055">
    <w:pPr>
      <w:jc w:val="center"/>
      <w:rPr>
        <w:sz w:val="20"/>
        <w:lang w:val="es-DO"/>
      </w:rPr>
    </w:pPr>
  </w:p>
  <w:p w14:paraId="49021984" w14:textId="77777777" w:rsidR="00BC201B" w:rsidRDefault="00BC201B" w:rsidP="00DD5055">
    <w:pPr>
      <w:jc w:val="center"/>
      <w:rPr>
        <w:sz w:val="20"/>
        <w:lang w:val="es-DO"/>
      </w:rPr>
    </w:pPr>
  </w:p>
  <w:p w14:paraId="7099AE9F" w14:textId="77777777" w:rsidR="00BC201B" w:rsidRPr="00DD5055" w:rsidRDefault="00BC201B">
    <w:pPr>
      <w:pStyle w:val="Encabezado"/>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2C61E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231167E"/>
    <w:multiLevelType w:val="multilevel"/>
    <w:tmpl w:val="2A6AA6C0"/>
    <w:styleLink w:val="WWNum7"/>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BE37990"/>
    <w:multiLevelType w:val="multilevel"/>
    <w:tmpl w:val="ADCCD8C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1D021D47"/>
    <w:multiLevelType w:val="hybridMultilevel"/>
    <w:tmpl w:val="E75EC51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5A60D22"/>
    <w:multiLevelType w:val="hybridMultilevel"/>
    <w:tmpl w:val="5A2EFF0E"/>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3C8B5E67"/>
    <w:multiLevelType w:val="hybridMultilevel"/>
    <w:tmpl w:val="45DC571A"/>
    <w:lvl w:ilvl="0" w:tplc="0C0A000F">
      <w:start w:val="1"/>
      <w:numFmt w:val="decimal"/>
      <w:pStyle w:val="Listaconnmeros2"/>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D2A2EEF"/>
    <w:multiLevelType w:val="multilevel"/>
    <w:tmpl w:val="A4445D46"/>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3D890F7C"/>
    <w:multiLevelType w:val="hybridMultilevel"/>
    <w:tmpl w:val="966C37F4"/>
    <w:lvl w:ilvl="0" w:tplc="0562F6D4">
      <w:start w:val="1"/>
      <w:numFmt w:val="bullet"/>
      <w:lvlText w:val=""/>
      <w:lvlJc w:val="left"/>
      <w:pPr>
        <w:ind w:left="720" w:hanging="360"/>
      </w:pPr>
      <w:rPr>
        <w:rFonts w:ascii="Symbol" w:hAnsi="Symbol" w:hint="default"/>
      </w:rPr>
    </w:lvl>
    <w:lvl w:ilvl="1" w:tplc="AFA27EF6">
      <w:start w:val="1"/>
      <w:numFmt w:val="bullet"/>
      <w:lvlText w:val="o"/>
      <w:lvlJc w:val="left"/>
      <w:pPr>
        <w:ind w:left="1440" w:hanging="360"/>
      </w:pPr>
      <w:rPr>
        <w:rFonts w:ascii="Courier New" w:hAnsi="Courier New" w:hint="default"/>
      </w:rPr>
    </w:lvl>
    <w:lvl w:ilvl="2" w:tplc="1F2E7AC0">
      <w:start w:val="1"/>
      <w:numFmt w:val="bullet"/>
      <w:lvlText w:val=""/>
      <w:lvlJc w:val="left"/>
      <w:pPr>
        <w:ind w:left="2160" w:hanging="360"/>
      </w:pPr>
      <w:rPr>
        <w:rFonts w:ascii="Wingdings" w:hAnsi="Wingdings" w:hint="default"/>
      </w:rPr>
    </w:lvl>
    <w:lvl w:ilvl="3" w:tplc="768EC40E">
      <w:start w:val="1"/>
      <w:numFmt w:val="bullet"/>
      <w:lvlText w:val=""/>
      <w:lvlJc w:val="left"/>
      <w:pPr>
        <w:ind w:left="2880" w:hanging="360"/>
      </w:pPr>
      <w:rPr>
        <w:rFonts w:ascii="Symbol" w:hAnsi="Symbol" w:hint="default"/>
      </w:rPr>
    </w:lvl>
    <w:lvl w:ilvl="4" w:tplc="DF94D718">
      <w:start w:val="1"/>
      <w:numFmt w:val="bullet"/>
      <w:lvlText w:val="o"/>
      <w:lvlJc w:val="left"/>
      <w:pPr>
        <w:ind w:left="3600" w:hanging="360"/>
      </w:pPr>
      <w:rPr>
        <w:rFonts w:ascii="Courier New" w:hAnsi="Courier New" w:hint="default"/>
      </w:rPr>
    </w:lvl>
    <w:lvl w:ilvl="5" w:tplc="63FE98D2">
      <w:start w:val="1"/>
      <w:numFmt w:val="bullet"/>
      <w:lvlText w:val=""/>
      <w:lvlJc w:val="left"/>
      <w:pPr>
        <w:ind w:left="4320" w:hanging="360"/>
      </w:pPr>
      <w:rPr>
        <w:rFonts w:ascii="Wingdings" w:hAnsi="Wingdings" w:hint="default"/>
      </w:rPr>
    </w:lvl>
    <w:lvl w:ilvl="6" w:tplc="41C6CE30">
      <w:start w:val="1"/>
      <w:numFmt w:val="bullet"/>
      <w:lvlText w:val=""/>
      <w:lvlJc w:val="left"/>
      <w:pPr>
        <w:ind w:left="5040" w:hanging="360"/>
      </w:pPr>
      <w:rPr>
        <w:rFonts w:ascii="Symbol" w:hAnsi="Symbol" w:hint="default"/>
      </w:rPr>
    </w:lvl>
    <w:lvl w:ilvl="7" w:tplc="C304E5E4">
      <w:start w:val="1"/>
      <w:numFmt w:val="bullet"/>
      <w:lvlText w:val="o"/>
      <w:lvlJc w:val="left"/>
      <w:pPr>
        <w:ind w:left="5760" w:hanging="360"/>
      </w:pPr>
      <w:rPr>
        <w:rFonts w:ascii="Courier New" w:hAnsi="Courier New" w:hint="default"/>
      </w:rPr>
    </w:lvl>
    <w:lvl w:ilvl="8" w:tplc="ECAE85FC">
      <w:start w:val="1"/>
      <w:numFmt w:val="bullet"/>
      <w:lvlText w:val=""/>
      <w:lvlJc w:val="left"/>
      <w:pPr>
        <w:ind w:left="6480" w:hanging="360"/>
      </w:pPr>
      <w:rPr>
        <w:rFonts w:ascii="Wingdings" w:hAnsi="Wingdings" w:hint="default"/>
      </w:rPr>
    </w:lvl>
  </w:abstractNum>
  <w:abstractNum w:abstractNumId="8" w15:restartNumberingAfterBreak="0">
    <w:nsid w:val="4F594BA1"/>
    <w:multiLevelType w:val="hybridMultilevel"/>
    <w:tmpl w:val="887EB768"/>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5A1C1BC0"/>
    <w:multiLevelType w:val="hybridMultilevel"/>
    <w:tmpl w:val="AA028A0A"/>
    <w:lvl w:ilvl="0" w:tplc="068EEC48">
      <w:start w:val="1"/>
      <w:numFmt w:val="lowerLetter"/>
      <w:pStyle w:val="Subbullets"/>
      <w:lvlText w:val="%1)"/>
      <w:lvlJc w:val="left"/>
      <w:pPr>
        <w:tabs>
          <w:tab w:val="num" w:pos="-792"/>
        </w:tabs>
        <w:ind w:left="-792" w:hanging="360"/>
      </w:pPr>
    </w:lvl>
    <w:lvl w:ilvl="1" w:tplc="7DBE7688">
      <w:start w:val="1"/>
      <w:numFmt w:val="decimal"/>
      <w:lvlText w:val="%2)"/>
      <w:lvlJc w:val="left"/>
      <w:pPr>
        <w:tabs>
          <w:tab w:val="num" w:pos="-109"/>
        </w:tabs>
        <w:ind w:left="-109" w:hanging="705"/>
      </w:pPr>
      <w:rPr>
        <w:rFonts w:hint="default"/>
      </w:rPr>
    </w:lvl>
    <w:lvl w:ilvl="2" w:tplc="0C0A001B" w:tentative="1">
      <w:start w:val="1"/>
      <w:numFmt w:val="lowerRoman"/>
      <w:lvlText w:val="%3."/>
      <w:lvlJc w:val="right"/>
      <w:pPr>
        <w:tabs>
          <w:tab w:val="num" w:pos="266"/>
        </w:tabs>
        <w:ind w:left="266" w:hanging="180"/>
      </w:pPr>
    </w:lvl>
    <w:lvl w:ilvl="3" w:tplc="0C0A000F" w:tentative="1">
      <w:start w:val="1"/>
      <w:numFmt w:val="decimal"/>
      <w:lvlText w:val="%4."/>
      <w:lvlJc w:val="left"/>
      <w:pPr>
        <w:tabs>
          <w:tab w:val="num" w:pos="986"/>
        </w:tabs>
        <w:ind w:left="986" w:hanging="360"/>
      </w:pPr>
    </w:lvl>
    <w:lvl w:ilvl="4" w:tplc="0C0A0019" w:tentative="1">
      <w:start w:val="1"/>
      <w:numFmt w:val="lowerLetter"/>
      <w:lvlText w:val="%5."/>
      <w:lvlJc w:val="left"/>
      <w:pPr>
        <w:tabs>
          <w:tab w:val="num" w:pos="1706"/>
        </w:tabs>
        <w:ind w:left="1706" w:hanging="360"/>
      </w:pPr>
    </w:lvl>
    <w:lvl w:ilvl="5" w:tplc="0C0A001B" w:tentative="1">
      <w:start w:val="1"/>
      <w:numFmt w:val="lowerRoman"/>
      <w:lvlText w:val="%6."/>
      <w:lvlJc w:val="right"/>
      <w:pPr>
        <w:tabs>
          <w:tab w:val="num" w:pos="2426"/>
        </w:tabs>
        <w:ind w:left="2426" w:hanging="180"/>
      </w:pPr>
    </w:lvl>
    <w:lvl w:ilvl="6" w:tplc="0C0A000F" w:tentative="1">
      <w:start w:val="1"/>
      <w:numFmt w:val="decimal"/>
      <w:lvlText w:val="%7."/>
      <w:lvlJc w:val="left"/>
      <w:pPr>
        <w:tabs>
          <w:tab w:val="num" w:pos="3146"/>
        </w:tabs>
        <w:ind w:left="3146" w:hanging="360"/>
      </w:pPr>
    </w:lvl>
    <w:lvl w:ilvl="7" w:tplc="0C0A0019" w:tentative="1">
      <w:start w:val="1"/>
      <w:numFmt w:val="lowerLetter"/>
      <w:lvlText w:val="%8."/>
      <w:lvlJc w:val="left"/>
      <w:pPr>
        <w:tabs>
          <w:tab w:val="num" w:pos="3866"/>
        </w:tabs>
        <w:ind w:left="3866" w:hanging="360"/>
      </w:pPr>
    </w:lvl>
    <w:lvl w:ilvl="8" w:tplc="0C0A001B" w:tentative="1">
      <w:start w:val="1"/>
      <w:numFmt w:val="lowerRoman"/>
      <w:lvlText w:val="%9."/>
      <w:lvlJc w:val="right"/>
      <w:pPr>
        <w:tabs>
          <w:tab w:val="num" w:pos="4586"/>
        </w:tabs>
        <w:ind w:left="4586" w:hanging="180"/>
      </w:pPr>
    </w:lvl>
  </w:abstractNum>
  <w:abstractNum w:abstractNumId="10" w15:restartNumberingAfterBreak="0">
    <w:nsid w:val="78094A81"/>
    <w:multiLevelType w:val="hybridMultilevel"/>
    <w:tmpl w:val="EBC44AA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7DBB4FA3"/>
    <w:multiLevelType w:val="hybridMultilevel"/>
    <w:tmpl w:val="BE1E1138"/>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997145907">
    <w:abstractNumId w:val="0"/>
  </w:num>
  <w:num w:numId="2" w16cid:durableId="911813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3778598">
    <w:abstractNumId w:val="9"/>
    <w:lvlOverride w:ilvl="0">
      <w:startOverride w:val="1"/>
    </w:lvlOverride>
  </w:num>
  <w:num w:numId="4" w16cid:durableId="809051288">
    <w:abstractNumId w:val="2"/>
  </w:num>
  <w:num w:numId="5" w16cid:durableId="564536908">
    <w:abstractNumId w:val="1"/>
  </w:num>
  <w:num w:numId="6" w16cid:durableId="1874072316">
    <w:abstractNumId w:val="6"/>
  </w:num>
  <w:num w:numId="7" w16cid:durableId="1967734180">
    <w:abstractNumId w:val="7"/>
  </w:num>
  <w:num w:numId="8" w16cid:durableId="1305433587">
    <w:abstractNumId w:val="11"/>
  </w:num>
  <w:num w:numId="9" w16cid:durableId="668170912">
    <w:abstractNumId w:val="8"/>
  </w:num>
  <w:num w:numId="10" w16cid:durableId="2077438980">
    <w:abstractNumId w:val="10"/>
  </w:num>
  <w:num w:numId="11" w16cid:durableId="337970854">
    <w:abstractNumId w:val="3"/>
  </w:num>
  <w:num w:numId="12" w16cid:durableId="131178778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55"/>
    <w:rsid w:val="00007152"/>
    <w:rsid w:val="00010D99"/>
    <w:rsid w:val="000114F4"/>
    <w:rsid w:val="00015C8A"/>
    <w:rsid w:val="000161EF"/>
    <w:rsid w:val="00021227"/>
    <w:rsid w:val="00021513"/>
    <w:rsid w:val="0002212F"/>
    <w:rsid w:val="000245B7"/>
    <w:rsid w:val="000266DA"/>
    <w:rsid w:val="00026D26"/>
    <w:rsid w:val="00030C07"/>
    <w:rsid w:val="00031FE3"/>
    <w:rsid w:val="00037CD0"/>
    <w:rsid w:val="00043DE1"/>
    <w:rsid w:val="000449D6"/>
    <w:rsid w:val="000475EE"/>
    <w:rsid w:val="00053CF4"/>
    <w:rsid w:val="0006071A"/>
    <w:rsid w:val="00061ED5"/>
    <w:rsid w:val="00067479"/>
    <w:rsid w:val="0007213A"/>
    <w:rsid w:val="00073D2C"/>
    <w:rsid w:val="00083FE6"/>
    <w:rsid w:val="000849DF"/>
    <w:rsid w:val="00084D91"/>
    <w:rsid w:val="00092726"/>
    <w:rsid w:val="00094B72"/>
    <w:rsid w:val="00094CD3"/>
    <w:rsid w:val="00094DE0"/>
    <w:rsid w:val="000976E9"/>
    <w:rsid w:val="000A059B"/>
    <w:rsid w:val="000A1C05"/>
    <w:rsid w:val="000A1E41"/>
    <w:rsid w:val="000A55EF"/>
    <w:rsid w:val="000B1437"/>
    <w:rsid w:val="000B1E87"/>
    <w:rsid w:val="000B4A07"/>
    <w:rsid w:val="000C269C"/>
    <w:rsid w:val="000C2714"/>
    <w:rsid w:val="000C3563"/>
    <w:rsid w:val="000C61DC"/>
    <w:rsid w:val="000C7728"/>
    <w:rsid w:val="000C7B04"/>
    <w:rsid w:val="000D2527"/>
    <w:rsid w:val="000D4DCC"/>
    <w:rsid w:val="000E0948"/>
    <w:rsid w:val="000E4E78"/>
    <w:rsid w:val="000E5109"/>
    <w:rsid w:val="000E5D3A"/>
    <w:rsid w:val="000E68CB"/>
    <w:rsid w:val="000F045C"/>
    <w:rsid w:val="000F6A68"/>
    <w:rsid w:val="000F7C3F"/>
    <w:rsid w:val="001008F3"/>
    <w:rsid w:val="001032A5"/>
    <w:rsid w:val="00103921"/>
    <w:rsid w:val="00104658"/>
    <w:rsid w:val="00105E8E"/>
    <w:rsid w:val="00105FB8"/>
    <w:rsid w:val="001065CC"/>
    <w:rsid w:val="00110A98"/>
    <w:rsid w:val="001119F1"/>
    <w:rsid w:val="001127FD"/>
    <w:rsid w:val="00116EB4"/>
    <w:rsid w:val="00120D48"/>
    <w:rsid w:val="00127CDB"/>
    <w:rsid w:val="001341EC"/>
    <w:rsid w:val="00134B03"/>
    <w:rsid w:val="00136717"/>
    <w:rsid w:val="00136DE3"/>
    <w:rsid w:val="00141942"/>
    <w:rsid w:val="00142EA8"/>
    <w:rsid w:val="0014312A"/>
    <w:rsid w:val="00143E79"/>
    <w:rsid w:val="001472D4"/>
    <w:rsid w:val="00151627"/>
    <w:rsid w:val="0015426C"/>
    <w:rsid w:val="00156DB8"/>
    <w:rsid w:val="00160508"/>
    <w:rsid w:val="00160ECE"/>
    <w:rsid w:val="00161D8F"/>
    <w:rsid w:val="00162DA7"/>
    <w:rsid w:val="00163523"/>
    <w:rsid w:val="00171C53"/>
    <w:rsid w:val="00173257"/>
    <w:rsid w:val="00174021"/>
    <w:rsid w:val="0018254B"/>
    <w:rsid w:val="00182A56"/>
    <w:rsid w:val="00184AE4"/>
    <w:rsid w:val="00186BC6"/>
    <w:rsid w:val="0019007E"/>
    <w:rsid w:val="0019274A"/>
    <w:rsid w:val="001A136E"/>
    <w:rsid w:val="001A1646"/>
    <w:rsid w:val="001A37A7"/>
    <w:rsid w:val="001A3963"/>
    <w:rsid w:val="001A3DD9"/>
    <w:rsid w:val="001A511E"/>
    <w:rsid w:val="001A725C"/>
    <w:rsid w:val="001A7804"/>
    <w:rsid w:val="001B1263"/>
    <w:rsid w:val="001B2FAC"/>
    <w:rsid w:val="001B77D1"/>
    <w:rsid w:val="001C048C"/>
    <w:rsid w:val="001C2A94"/>
    <w:rsid w:val="001C2C0D"/>
    <w:rsid w:val="001C78F0"/>
    <w:rsid w:val="001D10FE"/>
    <w:rsid w:val="001D4BA9"/>
    <w:rsid w:val="001E0746"/>
    <w:rsid w:val="001E133B"/>
    <w:rsid w:val="001E4574"/>
    <w:rsid w:val="001E5ADD"/>
    <w:rsid w:val="001E5E0A"/>
    <w:rsid w:val="001E688F"/>
    <w:rsid w:val="001E7020"/>
    <w:rsid w:val="001F1D7B"/>
    <w:rsid w:val="001F4010"/>
    <w:rsid w:val="001F6C25"/>
    <w:rsid w:val="002000DB"/>
    <w:rsid w:val="002002A0"/>
    <w:rsid w:val="00204A8C"/>
    <w:rsid w:val="002065C4"/>
    <w:rsid w:val="00207128"/>
    <w:rsid w:val="002079E2"/>
    <w:rsid w:val="002154FD"/>
    <w:rsid w:val="002165CE"/>
    <w:rsid w:val="00216DBB"/>
    <w:rsid w:val="00217A88"/>
    <w:rsid w:val="0022084C"/>
    <w:rsid w:val="002243CA"/>
    <w:rsid w:val="002249C5"/>
    <w:rsid w:val="00225232"/>
    <w:rsid w:val="0022634E"/>
    <w:rsid w:val="0022650A"/>
    <w:rsid w:val="00226F97"/>
    <w:rsid w:val="00231E7A"/>
    <w:rsid w:val="0023344B"/>
    <w:rsid w:val="002336AA"/>
    <w:rsid w:val="00234506"/>
    <w:rsid w:val="00236997"/>
    <w:rsid w:val="002400B3"/>
    <w:rsid w:val="0024211D"/>
    <w:rsid w:val="0024217C"/>
    <w:rsid w:val="0024222C"/>
    <w:rsid w:val="00244C2D"/>
    <w:rsid w:val="00244FC8"/>
    <w:rsid w:val="00246798"/>
    <w:rsid w:val="00246D0F"/>
    <w:rsid w:val="002515B4"/>
    <w:rsid w:val="00252E35"/>
    <w:rsid w:val="00252E3D"/>
    <w:rsid w:val="0025316D"/>
    <w:rsid w:val="002562E9"/>
    <w:rsid w:val="00263B31"/>
    <w:rsid w:val="00270010"/>
    <w:rsid w:val="00270759"/>
    <w:rsid w:val="002714FA"/>
    <w:rsid w:val="002727E8"/>
    <w:rsid w:val="002759DC"/>
    <w:rsid w:val="00277009"/>
    <w:rsid w:val="0028167B"/>
    <w:rsid w:val="0028658A"/>
    <w:rsid w:val="00287A08"/>
    <w:rsid w:val="00294AFC"/>
    <w:rsid w:val="00295125"/>
    <w:rsid w:val="002965F9"/>
    <w:rsid w:val="002A0B73"/>
    <w:rsid w:val="002B2D77"/>
    <w:rsid w:val="002B4441"/>
    <w:rsid w:val="002B49B3"/>
    <w:rsid w:val="002B4FE6"/>
    <w:rsid w:val="002B5D8E"/>
    <w:rsid w:val="002C211A"/>
    <w:rsid w:val="002C52FB"/>
    <w:rsid w:val="002D1A9A"/>
    <w:rsid w:val="002D1EC0"/>
    <w:rsid w:val="002E0545"/>
    <w:rsid w:val="002E18F0"/>
    <w:rsid w:val="002E195F"/>
    <w:rsid w:val="002F0B47"/>
    <w:rsid w:val="002F69A2"/>
    <w:rsid w:val="002F69D4"/>
    <w:rsid w:val="002F6ACF"/>
    <w:rsid w:val="003029E8"/>
    <w:rsid w:val="00303111"/>
    <w:rsid w:val="003038AC"/>
    <w:rsid w:val="00305D50"/>
    <w:rsid w:val="00306C12"/>
    <w:rsid w:val="003103F2"/>
    <w:rsid w:val="00312B5D"/>
    <w:rsid w:val="00315163"/>
    <w:rsid w:val="00316EEC"/>
    <w:rsid w:val="00317202"/>
    <w:rsid w:val="003176EC"/>
    <w:rsid w:val="00321E0A"/>
    <w:rsid w:val="00322F0C"/>
    <w:rsid w:val="003247F6"/>
    <w:rsid w:val="00325DDA"/>
    <w:rsid w:val="00330846"/>
    <w:rsid w:val="00332769"/>
    <w:rsid w:val="00343602"/>
    <w:rsid w:val="0034609D"/>
    <w:rsid w:val="00366554"/>
    <w:rsid w:val="00370E7C"/>
    <w:rsid w:val="00374D92"/>
    <w:rsid w:val="003772C8"/>
    <w:rsid w:val="003801C5"/>
    <w:rsid w:val="00385318"/>
    <w:rsid w:val="0038655E"/>
    <w:rsid w:val="003867F7"/>
    <w:rsid w:val="003871F9"/>
    <w:rsid w:val="003926D3"/>
    <w:rsid w:val="00392AE8"/>
    <w:rsid w:val="00393827"/>
    <w:rsid w:val="00396323"/>
    <w:rsid w:val="003A0826"/>
    <w:rsid w:val="003B0DFB"/>
    <w:rsid w:val="003B0EDD"/>
    <w:rsid w:val="003B2747"/>
    <w:rsid w:val="003B29BB"/>
    <w:rsid w:val="003B5997"/>
    <w:rsid w:val="003C4B1B"/>
    <w:rsid w:val="003C5731"/>
    <w:rsid w:val="003D441A"/>
    <w:rsid w:val="003E19CC"/>
    <w:rsid w:val="003E458D"/>
    <w:rsid w:val="003E7224"/>
    <w:rsid w:val="003F26CB"/>
    <w:rsid w:val="003F3847"/>
    <w:rsid w:val="003F5FB7"/>
    <w:rsid w:val="003F72F8"/>
    <w:rsid w:val="00400C9C"/>
    <w:rsid w:val="00402531"/>
    <w:rsid w:val="004037DC"/>
    <w:rsid w:val="00404289"/>
    <w:rsid w:val="00406434"/>
    <w:rsid w:val="0041011B"/>
    <w:rsid w:val="00413CCF"/>
    <w:rsid w:val="0042365D"/>
    <w:rsid w:val="00432703"/>
    <w:rsid w:val="00432F32"/>
    <w:rsid w:val="00434D52"/>
    <w:rsid w:val="004357B6"/>
    <w:rsid w:val="004361AF"/>
    <w:rsid w:val="00440A33"/>
    <w:rsid w:val="00441767"/>
    <w:rsid w:val="00443767"/>
    <w:rsid w:val="00444BEB"/>
    <w:rsid w:val="004553D4"/>
    <w:rsid w:val="00461FE8"/>
    <w:rsid w:val="00462B30"/>
    <w:rsid w:val="00467462"/>
    <w:rsid w:val="00471E5C"/>
    <w:rsid w:val="00473AFC"/>
    <w:rsid w:val="00474A46"/>
    <w:rsid w:val="00475752"/>
    <w:rsid w:val="00475B33"/>
    <w:rsid w:val="00476223"/>
    <w:rsid w:val="0048018B"/>
    <w:rsid w:val="00482017"/>
    <w:rsid w:val="00483995"/>
    <w:rsid w:val="00484CF1"/>
    <w:rsid w:val="00485609"/>
    <w:rsid w:val="0048741B"/>
    <w:rsid w:val="00490E6A"/>
    <w:rsid w:val="004943E0"/>
    <w:rsid w:val="00494D5C"/>
    <w:rsid w:val="0049515C"/>
    <w:rsid w:val="00496167"/>
    <w:rsid w:val="004A0E86"/>
    <w:rsid w:val="004A395A"/>
    <w:rsid w:val="004A48A7"/>
    <w:rsid w:val="004B32DF"/>
    <w:rsid w:val="004C0A7A"/>
    <w:rsid w:val="004C5FD4"/>
    <w:rsid w:val="004C6E06"/>
    <w:rsid w:val="004D2AD4"/>
    <w:rsid w:val="004E14DF"/>
    <w:rsid w:val="004E29A0"/>
    <w:rsid w:val="004E33B9"/>
    <w:rsid w:val="004E39B9"/>
    <w:rsid w:val="004E4197"/>
    <w:rsid w:val="004F300E"/>
    <w:rsid w:val="004F35EE"/>
    <w:rsid w:val="004F384A"/>
    <w:rsid w:val="004F681C"/>
    <w:rsid w:val="004F7B51"/>
    <w:rsid w:val="00506A5E"/>
    <w:rsid w:val="00514A5B"/>
    <w:rsid w:val="00522B3F"/>
    <w:rsid w:val="005251CE"/>
    <w:rsid w:val="005265FC"/>
    <w:rsid w:val="00531EB0"/>
    <w:rsid w:val="00542A14"/>
    <w:rsid w:val="00547B5A"/>
    <w:rsid w:val="0055373F"/>
    <w:rsid w:val="005542F3"/>
    <w:rsid w:val="00556BB1"/>
    <w:rsid w:val="00556ECF"/>
    <w:rsid w:val="00564F6D"/>
    <w:rsid w:val="00565EDD"/>
    <w:rsid w:val="00566967"/>
    <w:rsid w:val="00570C3A"/>
    <w:rsid w:val="005741BD"/>
    <w:rsid w:val="00574616"/>
    <w:rsid w:val="005749EC"/>
    <w:rsid w:val="005761DA"/>
    <w:rsid w:val="00581065"/>
    <w:rsid w:val="0058238D"/>
    <w:rsid w:val="00583B9F"/>
    <w:rsid w:val="00584984"/>
    <w:rsid w:val="00587A79"/>
    <w:rsid w:val="005904DA"/>
    <w:rsid w:val="00591A53"/>
    <w:rsid w:val="00592D56"/>
    <w:rsid w:val="00593E88"/>
    <w:rsid w:val="00597E8D"/>
    <w:rsid w:val="005A02A8"/>
    <w:rsid w:val="005A07E8"/>
    <w:rsid w:val="005A1159"/>
    <w:rsid w:val="005A2018"/>
    <w:rsid w:val="005A2BE4"/>
    <w:rsid w:val="005A30DF"/>
    <w:rsid w:val="005A41AC"/>
    <w:rsid w:val="005A6E61"/>
    <w:rsid w:val="005A747B"/>
    <w:rsid w:val="005B4695"/>
    <w:rsid w:val="005B4704"/>
    <w:rsid w:val="005B716D"/>
    <w:rsid w:val="005B72AD"/>
    <w:rsid w:val="005C1E4A"/>
    <w:rsid w:val="005C5B48"/>
    <w:rsid w:val="005C6E17"/>
    <w:rsid w:val="005C77C3"/>
    <w:rsid w:val="005D00E5"/>
    <w:rsid w:val="005D4FF1"/>
    <w:rsid w:val="005D5AD6"/>
    <w:rsid w:val="005E0110"/>
    <w:rsid w:val="005E27F8"/>
    <w:rsid w:val="005E3FAE"/>
    <w:rsid w:val="005E7114"/>
    <w:rsid w:val="005F37D9"/>
    <w:rsid w:val="005F3A4C"/>
    <w:rsid w:val="005F43BA"/>
    <w:rsid w:val="005F5025"/>
    <w:rsid w:val="00607D0C"/>
    <w:rsid w:val="00612258"/>
    <w:rsid w:val="0061356E"/>
    <w:rsid w:val="006143A2"/>
    <w:rsid w:val="00615885"/>
    <w:rsid w:val="00615BA6"/>
    <w:rsid w:val="00620713"/>
    <w:rsid w:val="00621238"/>
    <w:rsid w:val="00623A24"/>
    <w:rsid w:val="00625EAD"/>
    <w:rsid w:val="00626B1A"/>
    <w:rsid w:val="00631099"/>
    <w:rsid w:val="00631907"/>
    <w:rsid w:val="00632034"/>
    <w:rsid w:val="00642C87"/>
    <w:rsid w:val="00644219"/>
    <w:rsid w:val="006452DC"/>
    <w:rsid w:val="0064546A"/>
    <w:rsid w:val="00646496"/>
    <w:rsid w:val="006467C3"/>
    <w:rsid w:val="00646E0B"/>
    <w:rsid w:val="00650EE8"/>
    <w:rsid w:val="00651F69"/>
    <w:rsid w:val="0065244E"/>
    <w:rsid w:val="0065455D"/>
    <w:rsid w:val="00661390"/>
    <w:rsid w:val="006630D8"/>
    <w:rsid w:val="00663830"/>
    <w:rsid w:val="006659E1"/>
    <w:rsid w:val="00665EE8"/>
    <w:rsid w:val="00670314"/>
    <w:rsid w:val="00671740"/>
    <w:rsid w:val="00680D83"/>
    <w:rsid w:val="00683541"/>
    <w:rsid w:val="00684452"/>
    <w:rsid w:val="00684660"/>
    <w:rsid w:val="00684D8C"/>
    <w:rsid w:val="00685802"/>
    <w:rsid w:val="00685976"/>
    <w:rsid w:val="00685DDF"/>
    <w:rsid w:val="00687B63"/>
    <w:rsid w:val="00696827"/>
    <w:rsid w:val="006976B5"/>
    <w:rsid w:val="006A1FB4"/>
    <w:rsid w:val="006A2C78"/>
    <w:rsid w:val="006A4D2F"/>
    <w:rsid w:val="006A67FE"/>
    <w:rsid w:val="006B1DE8"/>
    <w:rsid w:val="006B6AB1"/>
    <w:rsid w:val="006C1B6D"/>
    <w:rsid w:val="006C5710"/>
    <w:rsid w:val="006C6778"/>
    <w:rsid w:val="006C6853"/>
    <w:rsid w:val="006C7D11"/>
    <w:rsid w:val="006D0EF0"/>
    <w:rsid w:val="006D2493"/>
    <w:rsid w:val="006D2760"/>
    <w:rsid w:val="006D3EBB"/>
    <w:rsid w:val="006D44B8"/>
    <w:rsid w:val="006D5950"/>
    <w:rsid w:val="006E0E79"/>
    <w:rsid w:val="006E17B1"/>
    <w:rsid w:val="006E2D6C"/>
    <w:rsid w:val="006E4BD4"/>
    <w:rsid w:val="006F3557"/>
    <w:rsid w:val="006F40B6"/>
    <w:rsid w:val="006F46E8"/>
    <w:rsid w:val="006F6DDE"/>
    <w:rsid w:val="0070181D"/>
    <w:rsid w:val="0070254F"/>
    <w:rsid w:val="00702AE7"/>
    <w:rsid w:val="007064B8"/>
    <w:rsid w:val="00706976"/>
    <w:rsid w:val="00707492"/>
    <w:rsid w:val="00707580"/>
    <w:rsid w:val="007078F3"/>
    <w:rsid w:val="00707F90"/>
    <w:rsid w:val="00726411"/>
    <w:rsid w:val="00730317"/>
    <w:rsid w:val="00730B65"/>
    <w:rsid w:val="00730DC0"/>
    <w:rsid w:val="00732265"/>
    <w:rsid w:val="00732D77"/>
    <w:rsid w:val="00732DB8"/>
    <w:rsid w:val="007352D0"/>
    <w:rsid w:val="0074178D"/>
    <w:rsid w:val="007440E5"/>
    <w:rsid w:val="00747C22"/>
    <w:rsid w:val="00751C46"/>
    <w:rsid w:val="007603CF"/>
    <w:rsid w:val="00763E69"/>
    <w:rsid w:val="0077012E"/>
    <w:rsid w:val="00780FE8"/>
    <w:rsid w:val="00781566"/>
    <w:rsid w:val="00781584"/>
    <w:rsid w:val="00784309"/>
    <w:rsid w:val="007864F2"/>
    <w:rsid w:val="007878E5"/>
    <w:rsid w:val="00791F12"/>
    <w:rsid w:val="00792FE9"/>
    <w:rsid w:val="007937AB"/>
    <w:rsid w:val="007962D6"/>
    <w:rsid w:val="007B1B3E"/>
    <w:rsid w:val="007B3A65"/>
    <w:rsid w:val="007B485A"/>
    <w:rsid w:val="007B74C4"/>
    <w:rsid w:val="007C0007"/>
    <w:rsid w:val="007C45B4"/>
    <w:rsid w:val="007C5127"/>
    <w:rsid w:val="007D0A77"/>
    <w:rsid w:val="007D4AEC"/>
    <w:rsid w:val="007D6C85"/>
    <w:rsid w:val="007D7D3F"/>
    <w:rsid w:val="007E2F60"/>
    <w:rsid w:val="007F08A2"/>
    <w:rsid w:val="00807906"/>
    <w:rsid w:val="0081065F"/>
    <w:rsid w:val="008157A4"/>
    <w:rsid w:val="008173B3"/>
    <w:rsid w:val="0082217D"/>
    <w:rsid w:val="00824445"/>
    <w:rsid w:val="00826F74"/>
    <w:rsid w:val="00830AC6"/>
    <w:rsid w:val="00832062"/>
    <w:rsid w:val="008325E9"/>
    <w:rsid w:val="00835916"/>
    <w:rsid w:val="00835AFF"/>
    <w:rsid w:val="008411CE"/>
    <w:rsid w:val="00841A58"/>
    <w:rsid w:val="00843C3D"/>
    <w:rsid w:val="00844EB1"/>
    <w:rsid w:val="008539ED"/>
    <w:rsid w:val="008552AB"/>
    <w:rsid w:val="00857C66"/>
    <w:rsid w:val="00860EBC"/>
    <w:rsid w:val="008614E7"/>
    <w:rsid w:val="00861D6C"/>
    <w:rsid w:val="00865A58"/>
    <w:rsid w:val="00866CF7"/>
    <w:rsid w:val="00870F27"/>
    <w:rsid w:val="00872A39"/>
    <w:rsid w:val="00873B47"/>
    <w:rsid w:val="00874158"/>
    <w:rsid w:val="0087422A"/>
    <w:rsid w:val="008743C1"/>
    <w:rsid w:val="00875C4F"/>
    <w:rsid w:val="008800A2"/>
    <w:rsid w:val="00882FF4"/>
    <w:rsid w:val="0088469E"/>
    <w:rsid w:val="008862D0"/>
    <w:rsid w:val="00887103"/>
    <w:rsid w:val="008876F8"/>
    <w:rsid w:val="00887A9A"/>
    <w:rsid w:val="00893544"/>
    <w:rsid w:val="008936D4"/>
    <w:rsid w:val="00893F98"/>
    <w:rsid w:val="008A4699"/>
    <w:rsid w:val="008A6DC4"/>
    <w:rsid w:val="008A793D"/>
    <w:rsid w:val="008B06E9"/>
    <w:rsid w:val="008B0BD5"/>
    <w:rsid w:val="008B61F8"/>
    <w:rsid w:val="008C0BB1"/>
    <w:rsid w:val="008C3B6D"/>
    <w:rsid w:val="008D0030"/>
    <w:rsid w:val="008D13E9"/>
    <w:rsid w:val="008D44B4"/>
    <w:rsid w:val="008D53FD"/>
    <w:rsid w:val="008D558A"/>
    <w:rsid w:val="008D61C3"/>
    <w:rsid w:val="008D7382"/>
    <w:rsid w:val="008E1562"/>
    <w:rsid w:val="008E21DA"/>
    <w:rsid w:val="008E4DB5"/>
    <w:rsid w:val="008E5E47"/>
    <w:rsid w:val="008F00FA"/>
    <w:rsid w:val="008F24EF"/>
    <w:rsid w:val="008F28B6"/>
    <w:rsid w:val="008F3510"/>
    <w:rsid w:val="008F41CC"/>
    <w:rsid w:val="008F46BD"/>
    <w:rsid w:val="009022CA"/>
    <w:rsid w:val="009046D9"/>
    <w:rsid w:val="00907E1C"/>
    <w:rsid w:val="00912E38"/>
    <w:rsid w:val="009133BD"/>
    <w:rsid w:val="009207B3"/>
    <w:rsid w:val="00922CE6"/>
    <w:rsid w:val="00923E1E"/>
    <w:rsid w:val="00924E82"/>
    <w:rsid w:val="00927451"/>
    <w:rsid w:val="009301BE"/>
    <w:rsid w:val="00932C38"/>
    <w:rsid w:val="009429E6"/>
    <w:rsid w:val="009441C1"/>
    <w:rsid w:val="009503EA"/>
    <w:rsid w:val="009507A1"/>
    <w:rsid w:val="00951198"/>
    <w:rsid w:val="00951801"/>
    <w:rsid w:val="009522CD"/>
    <w:rsid w:val="00952A2D"/>
    <w:rsid w:val="00954F82"/>
    <w:rsid w:val="0095582C"/>
    <w:rsid w:val="00955DA0"/>
    <w:rsid w:val="009569D5"/>
    <w:rsid w:val="00961F2A"/>
    <w:rsid w:val="00963F4C"/>
    <w:rsid w:val="0096496F"/>
    <w:rsid w:val="009719E3"/>
    <w:rsid w:val="009779B3"/>
    <w:rsid w:val="00982708"/>
    <w:rsid w:val="009841F9"/>
    <w:rsid w:val="00984D2B"/>
    <w:rsid w:val="009856B9"/>
    <w:rsid w:val="00986DAF"/>
    <w:rsid w:val="00987AA6"/>
    <w:rsid w:val="00991261"/>
    <w:rsid w:val="009916A1"/>
    <w:rsid w:val="00992D30"/>
    <w:rsid w:val="00992E0B"/>
    <w:rsid w:val="009952C9"/>
    <w:rsid w:val="009A098F"/>
    <w:rsid w:val="009A1738"/>
    <w:rsid w:val="009A3632"/>
    <w:rsid w:val="009A3C0B"/>
    <w:rsid w:val="009A47CC"/>
    <w:rsid w:val="009A4867"/>
    <w:rsid w:val="009A5B29"/>
    <w:rsid w:val="009A7E47"/>
    <w:rsid w:val="009B004B"/>
    <w:rsid w:val="009B06AA"/>
    <w:rsid w:val="009B1CC9"/>
    <w:rsid w:val="009B2248"/>
    <w:rsid w:val="009B26CA"/>
    <w:rsid w:val="009B3003"/>
    <w:rsid w:val="009B7E4D"/>
    <w:rsid w:val="009C3374"/>
    <w:rsid w:val="009C5263"/>
    <w:rsid w:val="009C5B70"/>
    <w:rsid w:val="009D24FC"/>
    <w:rsid w:val="009D4F16"/>
    <w:rsid w:val="009E096F"/>
    <w:rsid w:val="009E0BC3"/>
    <w:rsid w:val="009E2E51"/>
    <w:rsid w:val="009E318D"/>
    <w:rsid w:val="009E5798"/>
    <w:rsid w:val="009E65C8"/>
    <w:rsid w:val="009E6DE2"/>
    <w:rsid w:val="009F1836"/>
    <w:rsid w:val="009F208C"/>
    <w:rsid w:val="009F25EA"/>
    <w:rsid w:val="009F2ADC"/>
    <w:rsid w:val="00A029DB"/>
    <w:rsid w:val="00A03212"/>
    <w:rsid w:val="00A045F3"/>
    <w:rsid w:val="00A1258D"/>
    <w:rsid w:val="00A233C6"/>
    <w:rsid w:val="00A25001"/>
    <w:rsid w:val="00A42F38"/>
    <w:rsid w:val="00A43E63"/>
    <w:rsid w:val="00A44427"/>
    <w:rsid w:val="00A44A9E"/>
    <w:rsid w:val="00A5280C"/>
    <w:rsid w:val="00A53D80"/>
    <w:rsid w:val="00A540F7"/>
    <w:rsid w:val="00A54EE3"/>
    <w:rsid w:val="00A5724C"/>
    <w:rsid w:val="00A6109C"/>
    <w:rsid w:val="00A62EF5"/>
    <w:rsid w:val="00A717E0"/>
    <w:rsid w:val="00A738DD"/>
    <w:rsid w:val="00A74A26"/>
    <w:rsid w:val="00A77C4D"/>
    <w:rsid w:val="00A81E54"/>
    <w:rsid w:val="00A83C9D"/>
    <w:rsid w:val="00A85BA6"/>
    <w:rsid w:val="00A86C97"/>
    <w:rsid w:val="00A900B0"/>
    <w:rsid w:val="00A911D6"/>
    <w:rsid w:val="00A97411"/>
    <w:rsid w:val="00AA24A4"/>
    <w:rsid w:val="00AA3431"/>
    <w:rsid w:val="00AA3E11"/>
    <w:rsid w:val="00AA4008"/>
    <w:rsid w:val="00AA50DE"/>
    <w:rsid w:val="00AB21B1"/>
    <w:rsid w:val="00AB46AD"/>
    <w:rsid w:val="00AB64E1"/>
    <w:rsid w:val="00AB6E6E"/>
    <w:rsid w:val="00AC1285"/>
    <w:rsid w:val="00AC16B2"/>
    <w:rsid w:val="00AC2BBA"/>
    <w:rsid w:val="00AC3D64"/>
    <w:rsid w:val="00AD0EF9"/>
    <w:rsid w:val="00AD22E9"/>
    <w:rsid w:val="00AD5C82"/>
    <w:rsid w:val="00AD6A29"/>
    <w:rsid w:val="00AD6C99"/>
    <w:rsid w:val="00AD7280"/>
    <w:rsid w:val="00AE03FA"/>
    <w:rsid w:val="00AE0E4E"/>
    <w:rsid w:val="00AE473A"/>
    <w:rsid w:val="00AE5588"/>
    <w:rsid w:val="00AE7BEF"/>
    <w:rsid w:val="00AF037D"/>
    <w:rsid w:val="00AF064C"/>
    <w:rsid w:val="00AF1F10"/>
    <w:rsid w:val="00AF5233"/>
    <w:rsid w:val="00AF5623"/>
    <w:rsid w:val="00AF6F7D"/>
    <w:rsid w:val="00B063BB"/>
    <w:rsid w:val="00B0725D"/>
    <w:rsid w:val="00B07662"/>
    <w:rsid w:val="00B1062B"/>
    <w:rsid w:val="00B119BE"/>
    <w:rsid w:val="00B14EDA"/>
    <w:rsid w:val="00B16929"/>
    <w:rsid w:val="00B3093C"/>
    <w:rsid w:val="00B3137B"/>
    <w:rsid w:val="00B33ECB"/>
    <w:rsid w:val="00B3619D"/>
    <w:rsid w:val="00B4024E"/>
    <w:rsid w:val="00B4038B"/>
    <w:rsid w:val="00B45C15"/>
    <w:rsid w:val="00B473BD"/>
    <w:rsid w:val="00B50683"/>
    <w:rsid w:val="00B52CB0"/>
    <w:rsid w:val="00B55422"/>
    <w:rsid w:val="00B60C3C"/>
    <w:rsid w:val="00B63A17"/>
    <w:rsid w:val="00B729E4"/>
    <w:rsid w:val="00B8025B"/>
    <w:rsid w:val="00B81E25"/>
    <w:rsid w:val="00B820F7"/>
    <w:rsid w:val="00B847C2"/>
    <w:rsid w:val="00B85171"/>
    <w:rsid w:val="00B86FC3"/>
    <w:rsid w:val="00B87FC3"/>
    <w:rsid w:val="00B93805"/>
    <w:rsid w:val="00B97D32"/>
    <w:rsid w:val="00BA79AB"/>
    <w:rsid w:val="00BB279C"/>
    <w:rsid w:val="00BC0342"/>
    <w:rsid w:val="00BC201B"/>
    <w:rsid w:val="00BC6EAD"/>
    <w:rsid w:val="00BC7240"/>
    <w:rsid w:val="00BD1DB0"/>
    <w:rsid w:val="00BE1DDA"/>
    <w:rsid w:val="00BE362B"/>
    <w:rsid w:val="00BE43D7"/>
    <w:rsid w:val="00BE7379"/>
    <w:rsid w:val="00BF082E"/>
    <w:rsid w:val="00BF1227"/>
    <w:rsid w:val="00BF1864"/>
    <w:rsid w:val="00BF1C27"/>
    <w:rsid w:val="00BF2558"/>
    <w:rsid w:val="00BF2877"/>
    <w:rsid w:val="00BF4C8C"/>
    <w:rsid w:val="00BF4E89"/>
    <w:rsid w:val="00C01013"/>
    <w:rsid w:val="00C02712"/>
    <w:rsid w:val="00C04413"/>
    <w:rsid w:val="00C07EA1"/>
    <w:rsid w:val="00C10EF7"/>
    <w:rsid w:val="00C1267D"/>
    <w:rsid w:val="00C1357A"/>
    <w:rsid w:val="00C141CB"/>
    <w:rsid w:val="00C16FD0"/>
    <w:rsid w:val="00C201DE"/>
    <w:rsid w:val="00C20ABE"/>
    <w:rsid w:val="00C21C2A"/>
    <w:rsid w:val="00C24BA8"/>
    <w:rsid w:val="00C318B5"/>
    <w:rsid w:val="00C328E3"/>
    <w:rsid w:val="00C373E8"/>
    <w:rsid w:val="00C41193"/>
    <w:rsid w:val="00C41C3F"/>
    <w:rsid w:val="00C44696"/>
    <w:rsid w:val="00C44741"/>
    <w:rsid w:val="00C4490F"/>
    <w:rsid w:val="00C46F51"/>
    <w:rsid w:val="00C4734E"/>
    <w:rsid w:val="00C51C15"/>
    <w:rsid w:val="00C521CA"/>
    <w:rsid w:val="00C53B2F"/>
    <w:rsid w:val="00C5686C"/>
    <w:rsid w:val="00C67FC8"/>
    <w:rsid w:val="00C7225F"/>
    <w:rsid w:val="00C741AA"/>
    <w:rsid w:val="00C76889"/>
    <w:rsid w:val="00C77EA4"/>
    <w:rsid w:val="00C80B58"/>
    <w:rsid w:val="00C862A3"/>
    <w:rsid w:val="00C87EB9"/>
    <w:rsid w:val="00C87F91"/>
    <w:rsid w:val="00C91E11"/>
    <w:rsid w:val="00CA0517"/>
    <w:rsid w:val="00CA37F5"/>
    <w:rsid w:val="00CA3D9C"/>
    <w:rsid w:val="00CA680A"/>
    <w:rsid w:val="00CB04DD"/>
    <w:rsid w:val="00CB1211"/>
    <w:rsid w:val="00CB1D4E"/>
    <w:rsid w:val="00CB1E09"/>
    <w:rsid w:val="00CB42C3"/>
    <w:rsid w:val="00CB63A9"/>
    <w:rsid w:val="00CB6BAE"/>
    <w:rsid w:val="00CB74FF"/>
    <w:rsid w:val="00CC0DB9"/>
    <w:rsid w:val="00CC1757"/>
    <w:rsid w:val="00CC3A88"/>
    <w:rsid w:val="00CC66EB"/>
    <w:rsid w:val="00CC7817"/>
    <w:rsid w:val="00CD3212"/>
    <w:rsid w:val="00CD5B2B"/>
    <w:rsid w:val="00CD76D3"/>
    <w:rsid w:val="00CE05F6"/>
    <w:rsid w:val="00CE1119"/>
    <w:rsid w:val="00CE1633"/>
    <w:rsid w:val="00CE16A1"/>
    <w:rsid w:val="00CE43FB"/>
    <w:rsid w:val="00CE6E29"/>
    <w:rsid w:val="00CE735C"/>
    <w:rsid w:val="00CF1ECB"/>
    <w:rsid w:val="00CF20ED"/>
    <w:rsid w:val="00CF56E8"/>
    <w:rsid w:val="00CF59CF"/>
    <w:rsid w:val="00D00477"/>
    <w:rsid w:val="00D02770"/>
    <w:rsid w:val="00D04904"/>
    <w:rsid w:val="00D05FF5"/>
    <w:rsid w:val="00D0620A"/>
    <w:rsid w:val="00D07DB2"/>
    <w:rsid w:val="00D116DC"/>
    <w:rsid w:val="00D11A1C"/>
    <w:rsid w:val="00D11A60"/>
    <w:rsid w:val="00D1275F"/>
    <w:rsid w:val="00D13CF1"/>
    <w:rsid w:val="00D144F0"/>
    <w:rsid w:val="00D16B1E"/>
    <w:rsid w:val="00D17457"/>
    <w:rsid w:val="00D200AF"/>
    <w:rsid w:val="00D20200"/>
    <w:rsid w:val="00D257E3"/>
    <w:rsid w:val="00D2625D"/>
    <w:rsid w:val="00D27078"/>
    <w:rsid w:val="00D305E5"/>
    <w:rsid w:val="00D36A22"/>
    <w:rsid w:val="00D36EBF"/>
    <w:rsid w:val="00D37B0E"/>
    <w:rsid w:val="00D40C02"/>
    <w:rsid w:val="00D41104"/>
    <w:rsid w:val="00D4612B"/>
    <w:rsid w:val="00D464F1"/>
    <w:rsid w:val="00D50E61"/>
    <w:rsid w:val="00D54E6F"/>
    <w:rsid w:val="00D57BD2"/>
    <w:rsid w:val="00D6028D"/>
    <w:rsid w:val="00D61A17"/>
    <w:rsid w:val="00D626B7"/>
    <w:rsid w:val="00D62BA3"/>
    <w:rsid w:val="00D65708"/>
    <w:rsid w:val="00D742D6"/>
    <w:rsid w:val="00D755E0"/>
    <w:rsid w:val="00D80AA6"/>
    <w:rsid w:val="00D827E5"/>
    <w:rsid w:val="00D84121"/>
    <w:rsid w:val="00D84ABA"/>
    <w:rsid w:val="00D917CD"/>
    <w:rsid w:val="00D96147"/>
    <w:rsid w:val="00D966B6"/>
    <w:rsid w:val="00D971FC"/>
    <w:rsid w:val="00DA071D"/>
    <w:rsid w:val="00DA50CD"/>
    <w:rsid w:val="00DA626D"/>
    <w:rsid w:val="00DB3CF6"/>
    <w:rsid w:val="00DC14FE"/>
    <w:rsid w:val="00DD07CC"/>
    <w:rsid w:val="00DD0EF5"/>
    <w:rsid w:val="00DD1633"/>
    <w:rsid w:val="00DD1BDE"/>
    <w:rsid w:val="00DD2A8A"/>
    <w:rsid w:val="00DD5055"/>
    <w:rsid w:val="00DE0F06"/>
    <w:rsid w:val="00DE1DFC"/>
    <w:rsid w:val="00DE5D66"/>
    <w:rsid w:val="00DF472D"/>
    <w:rsid w:val="00DF516A"/>
    <w:rsid w:val="00E0014F"/>
    <w:rsid w:val="00E01628"/>
    <w:rsid w:val="00E03853"/>
    <w:rsid w:val="00E038CB"/>
    <w:rsid w:val="00E03A99"/>
    <w:rsid w:val="00E04E21"/>
    <w:rsid w:val="00E068BE"/>
    <w:rsid w:val="00E10E35"/>
    <w:rsid w:val="00E12EF7"/>
    <w:rsid w:val="00E20460"/>
    <w:rsid w:val="00E2295A"/>
    <w:rsid w:val="00E30C42"/>
    <w:rsid w:val="00E315E0"/>
    <w:rsid w:val="00E33024"/>
    <w:rsid w:val="00E346CF"/>
    <w:rsid w:val="00E43F10"/>
    <w:rsid w:val="00E44978"/>
    <w:rsid w:val="00E45060"/>
    <w:rsid w:val="00E508CF"/>
    <w:rsid w:val="00E522AD"/>
    <w:rsid w:val="00E549B2"/>
    <w:rsid w:val="00E574CA"/>
    <w:rsid w:val="00E61EC5"/>
    <w:rsid w:val="00E621CC"/>
    <w:rsid w:val="00E632F4"/>
    <w:rsid w:val="00E63653"/>
    <w:rsid w:val="00E63B5E"/>
    <w:rsid w:val="00E6614B"/>
    <w:rsid w:val="00E66611"/>
    <w:rsid w:val="00E6789C"/>
    <w:rsid w:val="00E67C09"/>
    <w:rsid w:val="00E7311C"/>
    <w:rsid w:val="00E7407F"/>
    <w:rsid w:val="00E7410C"/>
    <w:rsid w:val="00E74C9E"/>
    <w:rsid w:val="00E7610A"/>
    <w:rsid w:val="00E80990"/>
    <w:rsid w:val="00E84D4C"/>
    <w:rsid w:val="00E8603D"/>
    <w:rsid w:val="00E87198"/>
    <w:rsid w:val="00E878C1"/>
    <w:rsid w:val="00E94CC9"/>
    <w:rsid w:val="00E955AF"/>
    <w:rsid w:val="00E97483"/>
    <w:rsid w:val="00EA03B4"/>
    <w:rsid w:val="00EA2236"/>
    <w:rsid w:val="00EA2CFA"/>
    <w:rsid w:val="00EA4ADC"/>
    <w:rsid w:val="00EA72E7"/>
    <w:rsid w:val="00EB149D"/>
    <w:rsid w:val="00EB3A9D"/>
    <w:rsid w:val="00EB6AA0"/>
    <w:rsid w:val="00EB6B2A"/>
    <w:rsid w:val="00EC22C6"/>
    <w:rsid w:val="00EC248B"/>
    <w:rsid w:val="00EC3D3F"/>
    <w:rsid w:val="00EC3DCA"/>
    <w:rsid w:val="00EC4D6B"/>
    <w:rsid w:val="00EC57F4"/>
    <w:rsid w:val="00ED7E7F"/>
    <w:rsid w:val="00EE2965"/>
    <w:rsid w:val="00EE62DE"/>
    <w:rsid w:val="00EE7EFB"/>
    <w:rsid w:val="00F02116"/>
    <w:rsid w:val="00F02CA1"/>
    <w:rsid w:val="00F03279"/>
    <w:rsid w:val="00F04F4B"/>
    <w:rsid w:val="00F072D9"/>
    <w:rsid w:val="00F10D6D"/>
    <w:rsid w:val="00F124AE"/>
    <w:rsid w:val="00F12D1B"/>
    <w:rsid w:val="00F136D7"/>
    <w:rsid w:val="00F17B45"/>
    <w:rsid w:val="00F20256"/>
    <w:rsid w:val="00F258F2"/>
    <w:rsid w:val="00F3004F"/>
    <w:rsid w:val="00F33866"/>
    <w:rsid w:val="00F35175"/>
    <w:rsid w:val="00F35876"/>
    <w:rsid w:val="00F37D49"/>
    <w:rsid w:val="00F43078"/>
    <w:rsid w:val="00F50F8C"/>
    <w:rsid w:val="00F526F1"/>
    <w:rsid w:val="00F53F5B"/>
    <w:rsid w:val="00F54171"/>
    <w:rsid w:val="00F56F8A"/>
    <w:rsid w:val="00F60F33"/>
    <w:rsid w:val="00F6350F"/>
    <w:rsid w:val="00F64237"/>
    <w:rsid w:val="00F6528A"/>
    <w:rsid w:val="00F6695D"/>
    <w:rsid w:val="00F67241"/>
    <w:rsid w:val="00F67E7B"/>
    <w:rsid w:val="00F703E0"/>
    <w:rsid w:val="00F841A9"/>
    <w:rsid w:val="00F84C0F"/>
    <w:rsid w:val="00F9042D"/>
    <w:rsid w:val="00F92B43"/>
    <w:rsid w:val="00F95164"/>
    <w:rsid w:val="00F95615"/>
    <w:rsid w:val="00F95890"/>
    <w:rsid w:val="00FA052D"/>
    <w:rsid w:val="00FA0C69"/>
    <w:rsid w:val="00FA2DCB"/>
    <w:rsid w:val="00FA4AB5"/>
    <w:rsid w:val="00FA739C"/>
    <w:rsid w:val="00FB265E"/>
    <w:rsid w:val="00FB7184"/>
    <w:rsid w:val="00FC1A58"/>
    <w:rsid w:val="00FC1AE1"/>
    <w:rsid w:val="00FC276D"/>
    <w:rsid w:val="00FC3BD5"/>
    <w:rsid w:val="00FC5617"/>
    <w:rsid w:val="00FC5FF8"/>
    <w:rsid w:val="00FC6FA8"/>
    <w:rsid w:val="00FC782A"/>
    <w:rsid w:val="00FD06BF"/>
    <w:rsid w:val="00FD5D31"/>
    <w:rsid w:val="00FE28BB"/>
    <w:rsid w:val="00FE4BDA"/>
    <w:rsid w:val="00FF295E"/>
    <w:rsid w:val="00FF38F7"/>
    <w:rsid w:val="00FF3B6F"/>
    <w:rsid w:val="00FF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E24CB"/>
  <w15:chartTrackingRefBased/>
  <w15:docId w15:val="{9FAF8E47-2A22-410E-9FFD-1B5258E8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D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F69A2"/>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Ttulo2">
    <w:name w:val="heading 2"/>
    <w:basedOn w:val="Normal"/>
    <w:next w:val="Normal"/>
    <w:link w:val="Ttulo2Car"/>
    <w:unhideWhenUsed/>
    <w:qFormat/>
    <w:rsid w:val="002F69A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Ttulo3">
    <w:name w:val="heading 3"/>
    <w:basedOn w:val="Normal"/>
    <w:next w:val="Normal"/>
    <w:link w:val="Ttulo3Car"/>
    <w:qFormat/>
    <w:rsid w:val="003103F2"/>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32D77"/>
    <w:pPr>
      <w:keepNext/>
      <w:jc w:val="both"/>
      <w:outlineLvl w:val="3"/>
    </w:pPr>
    <w:rPr>
      <w:rFonts w:ascii="Tahoma" w:hAnsi="Tahoma"/>
      <w:b/>
      <w:bCs/>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3103F2"/>
    <w:rPr>
      <w:rFonts w:ascii="Arial" w:eastAsia="Times New Roman" w:hAnsi="Arial" w:cs="Arial"/>
      <w:b/>
      <w:bCs/>
      <w:sz w:val="26"/>
      <w:szCs w:val="26"/>
      <w:lang w:val="es-ES" w:eastAsia="es-ES"/>
    </w:rPr>
  </w:style>
  <w:style w:type="paragraph" w:styleId="Encabezado">
    <w:name w:val="header"/>
    <w:basedOn w:val="Normal"/>
    <w:link w:val="EncabezadoCar"/>
    <w:uiPriority w:val="99"/>
    <w:unhideWhenUsed/>
    <w:rsid w:val="00DD5055"/>
    <w:pPr>
      <w:tabs>
        <w:tab w:val="center" w:pos="4513"/>
        <w:tab w:val="right" w:pos="9026"/>
      </w:tabs>
    </w:pPr>
  </w:style>
  <w:style w:type="character" w:customStyle="1" w:styleId="EncabezadoCar">
    <w:name w:val="Encabezado Car"/>
    <w:basedOn w:val="Fuentedeprrafopredeter"/>
    <w:link w:val="Encabezado"/>
    <w:uiPriority w:val="99"/>
    <w:rsid w:val="00DD5055"/>
  </w:style>
  <w:style w:type="paragraph" w:styleId="Piedepgina">
    <w:name w:val="footer"/>
    <w:basedOn w:val="Normal"/>
    <w:link w:val="PiedepginaCar"/>
    <w:uiPriority w:val="99"/>
    <w:unhideWhenUsed/>
    <w:rsid w:val="00DD5055"/>
    <w:pPr>
      <w:tabs>
        <w:tab w:val="center" w:pos="4513"/>
        <w:tab w:val="right" w:pos="9026"/>
      </w:tabs>
    </w:pPr>
  </w:style>
  <w:style w:type="character" w:customStyle="1" w:styleId="PiedepginaCar">
    <w:name w:val="Pie de página Car"/>
    <w:basedOn w:val="Fuentedeprrafopredeter"/>
    <w:link w:val="Piedepgina"/>
    <w:uiPriority w:val="99"/>
    <w:rsid w:val="00DD5055"/>
  </w:style>
  <w:style w:type="paragraph" w:styleId="NormalWeb">
    <w:name w:val="Normal (Web)"/>
    <w:basedOn w:val="Normal"/>
    <w:uiPriority w:val="99"/>
    <w:unhideWhenUsed/>
    <w:rsid w:val="00DD5055"/>
    <w:pPr>
      <w:spacing w:before="100" w:beforeAutospacing="1" w:after="100" w:afterAutospacing="1"/>
    </w:pPr>
    <w:rPr>
      <w:lang w:val="es-DO" w:eastAsia="es-DO"/>
    </w:rPr>
  </w:style>
  <w:style w:type="paragraph" w:styleId="Textodeglobo">
    <w:name w:val="Balloon Text"/>
    <w:basedOn w:val="Normal"/>
    <w:link w:val="TextodegloboCar"/>
    <w:uiPriority w:val="99"/>
    <w:semiHidden/>
    <w:unhideWhenUsed/>
    <w:rsid w:val="00DD50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055"/>
    <w:rPr>
      <w:rFonts w:ascii="Segoe UI" w:hAnsi="Segoe UI" w:cs="Segoe UI"/>
      <w:sz w:val="18"/>
      <w:szCs w:val="18"/>
    </w:rPr>
  </w:style>
  <w:style w:type="character" w:styleId="Hipervnculo">
    <w:name w:val="Hyperlink"/>
    <w:basedOn w:val="Fuentedeprrafopredeter"/>
    <w:unhideWhenUsed/>
    <w:rsid w:val="00306C12"/>
    <w:rPr>
      <w:color w:val="0563C1" w:themeColor="hyperlink"/>
      <w:u w:val="single"/>
    </w:rPr>
  </w:style>
  <w:style w:type="character" w:customStyle="1" w:styleId="SinespaciadoCar">
    <w:name w:val="Sin espaciado Car"/>
    <w:basedOn w:val="Fuentedeprrafopredeter"/>
    <w:link w:val="Sinespaciado"/>
    <w:uiPriority w:val="1"/>
    <w:qFormat/>
    <w:locked/>
    <w:rsid w:val="00B16929"/>
    <w:rPr>
      <w:rFonts w:ascii="Calibri" w:eastAsia="Calibri" w:hAnsi="Calibri" w:cs="Times New Roman"/>
      <w:lang w:val="es-ES"/>
    </w:rPr>
  </w:style>
  <w:style w:type="paragraph" w:styleId="Sinespaciado">
    <w:name w:val="No Spacing"/>
    <w:link w:val="SinespaciadoCar"/>
    <w:uiPriority w:val="1"/>
    <w:qFormat/>
    <w:rsid w:val="00B16929"/>
    <w:pPr>
      <w:spacing w:after="0" w:line="240" w:lineRule="auto"/>
    </w:pPr>
    <w:rPr>
      <w:rFonts w:ascii="Calibri" w:eastAsia="Calibri" w:hAnsi="Calibri" w:cs="Times New Roman"/>
      <w:lang w:val="es-ES"/>
    </w:rPr>
  </w:style>
  <w:style w:type="paragraph" w:customStyle="1" w:styleId="Default">
    <w:name w:val="Default"/>
    <w:qFormat/>
    <w:rsid w:val="00B169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Car">
    <w:name w:val="Título Car"/>
    <w:basedOn w:val="Fuentedeprrafopredeter"/>
    <w:link w:val="Ttulo"/>
    <w:uiPriority w:val="10"/>
    <w:qFormat/>
    <w:rsid w:val="00952A2D"/>
    <w:rPr>
      <w:rFonts w:asciiTheme="majorHAnsi" w:eastAsiaTheme="majorEastAsia" w:hAnsiTheme="majorHAnsi" w:cstheme="majorBidi"/>
      <w:spacing w:val="-10"/>
      <w:kern w:val="2"/>
      <w:sz w:val="56"/>
      <w:szCs w:val="56"/>
    </w:rPr>
  </w:style>
  <w:style w:type="paragraph" w:styleId="Ttulo">
    <w:name w:val="Title"/>
    <w:basedOn w:val="Normal"/>
    <w:next w:val="Normal"/>
    <w:link w:val="TtuloCar"/>
    <w:uiPriority w:val="10"/>
    <w:qFormat/>
    <w:rsid w:val="00952A2D"/>
    <w:pPr>
      <w:suppressAutoHyphens/>
      <w:contextualSpacing/>
    </w:pPr>
    <w:rPr>
      <w:rFonts w:asciiTheme="majorHAnsi" w:eastAsiaTheme="majorEastAsia" w:hAnsiTheme="majorHAnsi" w:cstheme="majorBidi"/>
      <w:spacing w:val="-10"/>
      <w:kern w:val="2"/>
      <w:sz w:val="56"/>
      <w:szCs w:val="56"/>
    </w:rPr>
  </w:style>
  <w:style w:type="character" w:customStyle="1" w:styleId="TtuloCar1">
    <w:name w:val="Título Car1"/>
    <w:basedOn w:val="Fuentedeprrafopredeter"/>
    <w:uiPriority w:val="10"/>
    <w:rsid w:val="00952A2D"/>
    <w:rPr>
      <w:rFonts w:asciiTheme="majorHAnsi" w:eastAsiaTheme="majorEastAsia" w:hAnsiTheme="majorHAnsi" w:cstheme="majorBidi"/>
      <w:spacing w:val="-10"/>
      <w:kern w:val="28"/>
      <w:sz w:val="56"/>
      <w:szCs w:val="56"/>
    </w:rPr>
  </w:style>
  <w:style w:type="paragraph" w:customStyle="1" w:styleId="Standard">
    <w:name w:val="Standard"/>
    <w:rsid w:val="00963F4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xmsonospacing">
    <w:name w:val="x_msonospacing"/>
    <w:basedOn w:val="Normal"/>
    <w:rsid w:val="00F6350F"/>
    <w:rPr>
      <w:rFonts w:ascii="Calibri" w:hAnsi="Calibri" w:cs="Calibri"/>
    </w:rPr>
  </w:style>
  <w:style w:type="paragraph" w:styleId="Prrafodelista">
    <w:name w:val="List Paragraph"/>
    <w:basedOn w:val="Normal"/>
    <w:uiPriority w:val="34"/>
    <w:qFormat/>
    <w:rsid w:val="00D84ABA"/>
    <w:pPr>
      <w:ind w:left="720"/>
      <w:contextualSpacing/>
    </w:pPr>
  </w:style>
  <w:style w:type="table" w:styleId="Tablaconcuadrcula">
    <w:name w:val="Table Grid"/>
    <w:basedOn w:val="Tablanormal"/>
    <w:uiPriority w:val="39"/>
    <w:rsid w:val="00310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1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DO" w:eastAsia="es-DO"/>
    </w:rPr>
  </w:style>
  <w:style w:type="character" w:customStyle="1" w:styleId="HTMLconformatoprevioCar">
    <w:name w:val="HTML con formato previo Car"/>
    <w:basedOn w:val="Fuentedeprrafopredeter"/>
    <w:link w:val="HTMLconformatoprevio"/>
    <w:uiPriority w:val="99"/>
    <w:rsid w:val="003103F2"/>
    <w:rPr>
      <w:rFonts w:ascii="Courier New" w:eastAsia="Times New Roman" w:hAnsi="Courier New" w:cs="Courier New"/>
      <w:sz w:val="20"/>
      <w:szCs w:val="20"/>
      <w:lang w:val="es-DO" w:eastAsia="es-DO"/>
    </w:rPr>
  </w:style>
  <w:style w:type="paragraph" w:customStyle="1" w:styleId="paragraph">
    <w:name w:val="paragraph"/>
    <w:basedOn w:val="Normal"/>
    <w:rsid w:val="003103F2"/>
    <w:pPr>
      <w:spacing w:before="100" w:beforeAutospacing="1" w:after="100" w:afterAutospacing="1"/>
    </w:pPr>
    <w:rPr>
      <w:lang w:val="es-MX" w:eastAsia="es-MX"/>
    </w:rPr>
  </w:style>
  <w:style w:type="character" w:customStyle="1" w:styleId="normaltextrun">
    <w:name w:val="normaltextrun"/>
    <w:basedOn w:val="Fuentedeprrafopredeter"/>
    <w:rsid w:val="003103F2"/>
  </w:style>
  <w:style w:type="character" w:customStyle="1" w:styleId="eop">
    <w:name w:val="eop"/>
    <w:basedOn w:val="Fuentedeprrafopredeter"/>
    <w:rsid w:val="003103F2"/>
  </w:style>
  <w:style w:type="table" w:styleId="Tablaconcuadrcula4-nfasis1">
    <w:name w:val="Grid Table 4 Accent 1"/>
    <w:basedOn w:val="Tablanormal"/>
    <w:uiPriority w:val="49"/>
    <w:rsid w:val="003103F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1">
    <w:name w:val="Table Normal1"/>
    <w:uiPriority w:val="2"/>
    <w:semiHidden/>
    <w:unhideWhenUsed/>
    <w:qFormat/>
    <w:rsid w:val="003103F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03F2"/>
    <w:pPr>
      <w:widowControl w:val="0"/>
      <w:autoSpaceDE w:val="0"/>
      <w:autoSpaceDN w:val="0"/>
      <w:jc w:val="center"/>
    </w:pPr>
    <w:rPr>
      <w:rFonts w:ascii="Arial MT" w:eastAsia="Arial MT" w:hAnsi="Arial MT" w:cs="Arial MT"/>
      <w:sz w:val="22"/>
      <w:szCs w:val="22"/>
      <w:lang w:eastAsia="en-US"/>
    </w:rPr>
  </w:style>
  <w:style w:type="paragraph" w:styleId="Textoindependiente">
    <w:name w:val="Body Text"/>
    <w:basedOn w:val="Normal"/>
    <w:link w:val="TextoindependienteCar"/>
    <w:qFormat/>
    <w:rsid w:val="003103F2"/>
    <w:pPr>
      <w:widowControl w:val="0"/>
      <w:autoSpaceDE w:val="0"/>
      <w:autoSpaceDN w:val="0"/>
    </w:pPr>
    <w:rPr>
      <w:rFonts w:ascii="Arial MT" w:eastAsia="Arial MT" w:hAnsi="Arial MT" w:cs="Arial MT"/>
      <w:sz w:val="23"/>
      <w:szCs w:val="23"/>
      <w:lang w:eastAsia="en-US"/>
    </w:rPr>
  </w:style>
  <w:style w:type="character" w:customStyle="1" w:styleId="TextoindependienteCar">
    <w:name w:val="Texto independiente Car"/>
    <w:basedOn w:val="Fuentedeprrafopredeter"/>
    <w:link w:val="Textoindependiente"/>
    <w:rsid w:val="003103F2"/>
    <w:rPr>
      <w:rFonts w:ascii="Arial MT" w:eastAsia="Arial MT" w:hAnsi="Arial MT" w:cs="Arial MT"/>
      <w:sz w:val="23"/>
      <w:szCs w:val="23"/>
      <w:lang w:val="es-ES"/>
    </w:rPr>
  </w:style>
  <w:style w:type="character" w:customStyle="1" w:styleId="TextonotapieCar">
    <w:name w:val="Texto nota pie Car"/>
    <w:basedOn w:val="Fuentedeprrafopredeter"/>
    <w:link w:val="Textonotapie"/>
    <w:uiPriority w:val="99"/>
    <w:semiHidden/>
    <w:rsid w:val="003103F2"/>
    <w:rPr>
      <w:sz w:val="20"/>
      <w:szCs w:val="20"/>
    </w:rPr>
  </w:style>
  <w:style w:type="paragraph" w:styleId="Textonotapie">
    <w:name w:val="footnote text"/>
    <w:basedOn w:val="Normal"/>
    <w:link w:val="TextonotapieCar"/>
    <w:uiPriority w:val="99"/>
    <w:semiHidden/>
    <w:unhideWhenUsed/>
    <w:rsid w:val="003103F2"/>
    <w:rPr>
      <w:rFonts w:asciiTheme="minorHAnsi" w:eastAsiaTheme="minorHAnsi" w:hAnsiTheme="minorHAnsi" w:cstheme="minorBidi"/>
      <w:sz w:val="20"/>
      <w:szCs w:val="20"/>
      <w:lang w:val="en-US" w:eastAsia="en-US"/>
    </w:rPr>
  </w:style>
  <w:style w:type="paragraph" w:styleId="Listaconvietas">
    <w:name w:val="List Bullet"/>
    <w:basedOn w:val="Normal"/>
    <w:uiPriority w:val="99"/>
    <w:unhideWhenUsed/>
    <w:rsid w:val="000449D6"/>
    <w:pPr>
      <w:numPr>
        <w:numId w:val="1"/>
      </w:numPr>
      <w:spacing w:after="160" w:line="259" w:lineRule="auto"/>
      <w:contextualSpacing/>
    </w:pPr>
    <w:rPr>
      <w:rFonts w:asciiTheme="minorHAnsi" w:eastAsiaTheme="minorHAnsi" w:hAnsiTheme="minorHAnsi" w:cstheme="minorBidi"/>
      <w:sz w:val="22"/>
      <w:szCs w:val="22"/>
      <w:lang w:val="en-US" w:eastAsia="en-US"/>
    </w:rPr>
  </w:style>
  <w:style w:type="character" w:styleId="Refdenotaalpie">
    <w:name w:val="footnote reference"/>
    <w:basedOn w:val="Fuentedeprrafopredeter"/>
    <w:uiPriority w:val="99"/>
    <w:semiHidden/>
    <w:unhideWhenUsed/>
    <w:rsid w:val="000449D6"/>
    <w:rPr>
      <w:vertAlign w:val="superscript"/>
    </w:rPr>
  </w:style>
  <w:style w:type="paragraph" w:customStyle="1" w:styleId="Encabezadoenmaysculas">
    <w:name w:val="Encabezado en mayúsculas"/>
    <w:basedOn w:val="Normal"/>
    <w:qFormat/>
    <w:rsid w:val="005749EC"/>
    <w:rPr>
      <w:rFonts w:ascii="Tahoma" w:hAnsi="Tahoma" w:cs="Tahoma"/>
      <w:b/>
      <w:caps/>
      <w:color w:val="808080"/>
      <w:spacing w:val="4"/>
      <w:sz w:val="14"/>
      <w:szCs w:val="14"/>
      <w:lang w:val="en-US" w:eastAsia="en-US" w:bidi="en-US"/>
    </w:rPr>
  </w:style>
  <w:style w:type="paragraph" w:styleId="Revisin">
    <w:name w:val="Revision"/>
    <w:hidden/>
    <w:uiPriority w:val="99"/>
    <w:semiHidden/>
    <w:rsid w:val="005749EC"/>
    <w:pPr>
      <w:spacing w:after="0" w:line="240" w:lineRule="auto"/>
    </w:pPr>
    <w:rPr>
      <w:rFonts w:ascii="Calibri" w:eastAsia="Calibri" w:hAnsi="Calibri" w:cs="Times New Roman"/>
      <w:lang w:val="es-DO"/>
    </w:rPr>
  </w:style>
  <w:style w:type="character" w:styleId="Textoennegrita">
    <w:name w:val="Strong"/>
    <w:basedOn w:val="Fuentedeprrafopredeter"/>
    <w:qFormat/>
    <w:rsid w:val="005749EC"/>
    <w:rPr>
      <w:b/>
      <w:bCs/>
    </w:rPr>
  </w:style>
  <w:style w:type="character" w:styleId="Refdecomentario">
    <w:name w:val="annotation reference"/>
    <w:basedOn w:val="Fuentedeprrafopredeter"/>
    <w:unhideWhenUsed/>
    <w:rsid w:val="00BF2558"/>
    <w:rPr>
      <w:sz w:val="16"/>
      <w:szCs w:val="16"/>
    </w:rPr>
  </w:style>
  <w:style w:type="paragraph" w:styleId="Textocomentario">
    <w:name w:val="annotation text"/>
    <w:basedOn w:val="Normal"/>
    <w:link w:val="TextocomentarioCar"/>
    <w:unhideWhenUsed/>
    <w:rsid w:val="00BF2558"/>
    <w:rPr>
      <w:sz w:val="20"/>
      <w:szCs w:val="20"/>
    </w:rPr>
  </w:style>
  <w:style w:type="character" w:customStyle="1" w:styleId="TextocomentarioCar">
    <w:name w:val="Texto comentario Car"/>
    <w:basedOn w:val="Fuentedeprrafopredeter"/>
    <w:link w:val="Textocomentario"/>
    <w:rsid w:val="00BF255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F2558"/>
    <w:rPr>
      <w:b/>
      <w:bCs/>
    </w:rPr>
  </w:style>
  <w:style w:type="character" w:customStyle="1" w:styleId="AsuntodelcomentarioCar">
    <w:name w:val="Asunto del comentario Car"/>
    <w:basedOn w:val="TextocomentarioCar"/>
    <w:link w:val="Asuntodelcomentario"/>
    <w:uiPriority w:val="99"/>
    <w:semiHidden/>
    <w:rsid w:val="00BF2558"/>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rsid w:val="002F69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F69A2"/>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2F69A2"/>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SubttuloCar">
    <w:name w:val="Subtítulo Car"/>
    <w:basedOn w:val="Fuentedeprrafopredeter"/>
    <w:link w:val="Subttulo"/>
    <w:uiPriority w:val="11"/>
    <w:rsid w:val="002F69A2"/>
    <w:rPr>
      <w:rFonts w:eastAsiaTheme="minorEastAsia"/>
      <w:color w:val="5A5A5A" w:themeColor="text1" w:themeTint="A5"/>
      <w:spacing w:val="15"/>
    </w:rPr>
  </w:style>
  <w:style w:type="table" w:customStyle="1" w:styleId="Tablaconcuadrcula1">
    <w:name w:val="Tabla con cuadrícula1"/>
    <w:basedOn w:val="Tablanormal"/>
    <w:next w:val="Tablaconcuadrcula"/>
    <w:rsid w:val="002F6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80136698267322617msonospacing">
    <w:name w:val="m_-7980136698267322617msonospacing"/>
    <w:basedOn w:val="Normal"/>
    <w:rsid w:val="0002212F"/>
    <w:pPr>
      <w:spacing w:before="100" w:beforeAutospacing="1" w:after="100" w:afterAutospacing="1"/>
    </w:pPr>
    <w:rPr>
      <w:rFonts w:eastAsiaTheme="minorHAnsi"/>
      <w:lang w:val="es-DO" w:eastAsia="es-DO"/>
    </w:rPr>
  </w:style>
  <w:style w:type="character" w:customStyle="1" w:styleId="Ttulo4Car">
    <w:name w:val="Título 4 Car"/>
    <w:basedOn w:val="Fuentedeprrafopredeter"/>
    <w:link w:val="Ttulo4"/>
    <w:rsid w:val="00732D77"/>
    <w:rPr>
      <w:rFonts w:ascii="Tahoma" w:eastAsia="Times New Roman" w:hAnsi="Tahoma" w:cs="Times New Roman"/>
      <w:b/>
      <w:bCs/>
      <w:sz w:val="20"/>
      <w:szCs w:val="20"/>
      <w:lang w:val="es-ES_tradnl"/>
    </w:rPr>
  </w:style>
  <w:style w:type="numbering" w:customStyle="1" w:styleId="Sinlista1">
    <w:name w:val="Sin lista1"/>
    <w:next w:val="Sinlista"/>
    <w:semiHidden/>
    <w:rsid w:val="00732D77"/>
  </w:style>
  <w:style w:type="paragraph" w:customStyle="1" w:styleId="HTMLPreformatted1">
    <w:name w:val="HTML Preformatted1"/>
    <w:basedOn w:val="Normal"/>
    <w:rsid w:val="00732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paragraph" w:styleId="Textoindependiente2">
    <w:name w:val="Body Text 2"/>
    <w:basedOn w:val="Normal"/>
    <w:link w:val="Textoindependiente2Car"/>
    <w:rsid w:val="00732D77"/>
    <w:pPr>
      <w:jc w:val="both"/>
    </w:pPr>
    <w:rPr>
      <w:rFonts w:ascii="Tahoma" w:hAnsi="Tahoma"/>
      <w:sz w:val="20"/>
      <w:szCs w:val="20"/>
      <w:lang w:val="es-ES_tradnl" w:eastAsia="en-US"/>
    </w:rPr>
  </w:style>
  <w:style w:type="character" w:customStyle="1" w:styleId="Textoindependiente2Car">
    <w:name w:val="Texto independiente 2 Car"/>
    <w:basedOn w:val="Fuentedeprrafopredeter"/>
    <w:link w:val="Textoindependiente2"/>
    <w:rsid w:val="00732D77"/>
    <w:rPr>
      <w:rFonts w:ascii="Tahoma" w:eastAsia="Times New Roman" w:hAnsi="Tahoma" w:cs="Times New Roman"/>
      <w:sz w:val="20"/>
      <w:szCs w:val="20"/>
      <w:lang w:val="es-ES_tradnl"/>
    </w:rPr>
  </w:style>
  <w:style w:type="paragraph" w:styleId="z-Principiodelformulario">
    <w:name w:val="HTML Top of Form"/>
    <w:basedOn w:val="Normal"/>
    <w:next w:val="Normal"/>
    <w:link w:val="z-PrincipiodelformularioCar"/>
    <w:hidden/>
    <w:rsid w:val="00732D77"/>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732D77"/>
    <w:rPr>
      <w:rFonts w:ascii="Arial" w:eastAsia="Times New Roman" w:hAnsi="Arial" w:cs="Arial"/>
      <w:vanish/>
      <w:sz w:val="16"/>
      <w:szCs w:val="16"/>
      <w:lang w:val="es-ES" w:eastAsia="es-ES"/>
    </w:rPr>
  </w:style>
  <w:style w:type="paragraph" w:customStyle="1" w:styleId="irpdos">
    <w:name w:val="irpdos"/>
    <w:basedOn w:val="Normal"/>
    <w:rsid w:val="00732D77"/>
    <w:pPr>
      <w:spacing w:before="100" w:beforeAutospacing="1" w:after="100" w:afterAutospacing="1"/>
    </w:pPr>
  </w:style>
  <w:style w:type="paragraph" w:customStyle="1" w:styleId="CM6">
    <w:name w:val="CM6"/>
    <w:basedOn w:val="Normal"/>
    <w:next w:val="Normal"/>
    <w:rsid w:val="00732D77"/>
    <w:pPr>
      <w:widowControl w:val="0"/>
      <w:autoSpaceDE w:val="0"/>
      <w:autoSpaceDN w:val="0"/>
      <w:adjustRightInd w:val="0"/>
      <w:spacing w:after="278"/>
    </w:pPr>
    <w:rPr>
      <w:rFonts w:ascii="Times" w:hAnsi="Times" w:cs="Times"/>
    </w:rPr>
  </w:style>
  <w:style w:type="paragraph" w:customStyle="1" w:styleId="Tpicosabc">
    <w:name w:val="Tópicos abc"/>
    <w:basedOn w:val="Listaconnmeros2"/>
    <w:rsid w:val="00732D77"/>
    <w:pPr>
      <w:numPr>
        <w:numId w:val="0"/>
      </w:numPr>
      <w:spacing w:before="120"/>
      <w:jc w:val="both"/>
    </w:pPr>
    <w:rPr>
      <w:rFonts w:ascii="Garamond" w:eastAsia="Times New Roman" w:hAnsi="Garamond"/>
      <w:sz w:val="22"/>
      <w:lang w:val="es-DO" w:eastAsia="es-ES"/>
    </w:rPr>
  </w:style>
  <w:style w:type="paragraph" w:customStyle="1" w:styleId="Subbullets">
    <w:name w:val="Subbullets"/>
    <w:basedOn w:val="Tpicosabc"/>
    <w:rsid w:val="00732D77"/>
    <w:pPr>
      <w:numPr>
        <w:numId w:val="3"/>
      </w:numPr>
      <w:spacing w:before="0"/>
      <w:ind w:left="720"/>
    </w:pPr>
    <w:rPr>
      <w:rFonts w:ascii="Arial" w:hAnsi="Arial" w:cs="Arial"/>
      <w:sz w:val="20"/>
      <w:szCs w:val="20"/>
    </w:rPr>
  </w:style>
  <w:style w:type="paragraph" w:styleId="Listaconnmeros2">
    <w:name w:val="List Number 2"/>
    <w:basedOn w:val="Normal"/>
    <w:rsid w:val="00732D77"/>
    <w:pPr>
      <w:numPr>
        <w:numId w:val="2"/>
      </w:numPr>
    </w:pPr>
    <w:rPr>
      <w:rFonts w:eastAsia="SimSun"/>
      <w:lang w:eastAsia="zh-CN"/>
    </w:rPr>
  </w:style>
  <w:style w:type="character" w:customStyle="1" w:styleId="apple-converted-space">
    <w:name w:val="apple-converted-space"/>
    <w:rsid w:val="00732D77"/>
  </w:style>
  <w:style w:type="character" w:styleId="Hipervnculovisitado">
    <w:name w:val="FollowedHyperlink"/>
    <w:basedOn w:val="Fuentedeprrafopredeter"/>
    <w:uiPriority w:val="99"/>
    <w:semiHidden/>
    <w:unhideWhenUsed/>
    <w:rsid w:val="00506A5E"/>
    <w:rPr>
      <w:color w:val="954F72" w:themeColor="followedHyperlink"/>
      <w:u w:val="single"/>
    </w:rPr>
  </w:style>
  <w:style w:type="paragraph" w:customStyle="1" w:styleId="msonormal0">
    <w:name w:val="msonormal"/>
    <w:basedOn w:val="Normal"/>
    <w:uiPriority w:val="99"/>
    <w:semiHidden/>
    <w:rsid w:val="00506A5E"/>
    <w:pPr>
      <w:spacing w:before="100" w:beforeAutospacing="1" w:after="100" w:afterAutospacing="1"/>
    </w:pPr>
    <w:rPr>
      <w:lang w:val="es-DO" w:eastAsia="es-DO"/>
    </w:rPr>
  </w:style>
  <w:style w:type="character" w:customStyle="1" w:styleId="HTMLconformatoprevioCar1">
    <w:name w:val="HTML con formato previo Car1"/>
    <w:basedOn w:val="Fuentedeprrafopredeter"/>
    <w:uiPriority w:val="99"/>
    <w:semiHidden/>
    <w:rsid w:val="00506A5E"/>
    <w:rPr>
      <w:rFonts w:ascii="Consolas" w:hAnsi="Consolas" w:hint="default"/>
      <w:sz w:val="20"/>
      <w:szCs w:val="20"/>
    </w:rPr>
  </w:style>
  <w:style w:type="character" w:customStyle="1" w:styleId="TextoindependienteCar1">
    <w:name w:val="Texto independiente Car1"/>
    <w:basedOn w:val="Fuentedeprrafopredeter"/>
    <w:uiPriority w:val="99"/>
    <w:semiHidden/>
    <w:rsid w:val="00506A5E"/>
  </w:style>
  <w:style w:type="character" w:customStyle="1" w:styleId="TextonotapieCar1">
    <w:name w:val="Texto nota pie Car1"/>
    <w:basedOn w:val="Fuentedeprrafopredeter"/>
    <w:uiPriority w:val="99"/>
    <w:semiHidden/>
    <w:rsid w:val="00506A5E"/>
    <w:rPr>
      <w:rFonts w:ascii="Times New Roman" w:eastAsia="Times New Roman" w:hAnsi="Times New Roman" w:cs="Times New Roman" w:hint="default"/>
      <w:sz w:val="20"/>
      <w:szCs w:val="20"/>
      <w:lang w:val="es-ES" w:eastAsia="es-ES"/>
    </w:rPr>
  </w:style>
  <w:style w:type="numbering" w:customStyle="1" w:styleId="WWNum3">
    <w:name w:val="WWNum3"/>
    <w:basedOn w:val="Sinlista"/>
    <w:rsid w:val="00506A5E"/>
    <w:pPr>
      <w:numPr>
        <w:numId w:val="4"/>
      </w:numPr>
    </w:pPr>
  </w:style>
  <w:style w:type="numbering" w:customStyle="1" w:styleId="WWNum7">
    <w:name w:val="WWNum7"/>
    <w:basedOn w:val="Sinlista"/>
    <w:rsid w:val="00506A5E"/>
    <w:pPr>
      <w:numPr>
        <w:numId w:val="5"/>
      </w:numPr>
    </w:pPr>
  </w:style>
  <w:style w:type="numbering" w:customStyle="1" w:styleId="WWNum12">
    <w:name w:val="WWNum12"/>
    <w:basedOn w:val="Sinlista"/>
    <w:rsid w:val="00506A5E"/>
    <w:pPr>
      <w:numPr>
        <w:numId w:val="6"/>
      </w:numPr>
    </w:pPr>
  </w:style>
  <w:style w:type="paragraph" w:customStyle="1" w:styleId="CM67">
    <w:name w:val="CM67"/>
    <w:basedOn w:val="Default"/>
    <w:next w:val="Default"/>
    <w:uiPriority w:val="99"/>
    <w:rsid w:val="003867F7"/>
    <w:rPr>
      <w:rFonts w:ascii="Arial" w:hAnsi="Arial" w:cs="Arial"/>
      <w:color w:val="auto"/>
    </w:rPr>
  </w:style>
  <w:style w:type="paragraph" w:customStyle="1" w:styleId="CM167">
    <w:name w:val="CM167"/>
    <w:basedOn w:val="Default"/>
    <w:next w:val="Default"/>
    <w:uiPriority w:val="99"/>
    <w:rsid w:val="003867F7"/>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6862">
      <w:bodyDiv w:val="1"/>
      <w:marLeft w:val="0"/>
      <w:marRight w:val="0"/>
      <w:marTop w:val="0"/>
      <w:marBottom w:val="0"/>
      <w:divBdr>
        <w:top w:val="none" w:sz="0" w:space="0" w:color="auto"/>
        <w:left w:val="none" w:sz="0" w:space="0" w:color="auto"/>
        <w:bottom w:val="none" w:sz="0" w:space="0" w:color="auto"/>
        <w:right w:val="none" w:sz="0" w:space="0" w:color="auto"/>
      </w:divBdr>
    </w:div>
    <w:div w:id="237597718">
      <w:bodyDiv w:val="1"/>
      <w:marLeft w:val="0"/>
      <w:marRight w:val="0"/>
      <w:marTop w:val="0"/>
      <w:marBottom w:val="0"/>
      <w:divBdr>
        <w:top w:val="none" w:sz="0" w:space="0" w:color="auto"/>
        <w:left w:val="none" w:sz="0" w:space="0" w:color="auto"/>
        <w:bottom w:val="none" w:sz="0" w:space="0" w:color="auto"/>
        <w:right w:val="none" w:sz="0" w:space="0" w:color="auto"/>
      </w:divBdr>
    </w:div>
    <w:div w:id="69030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26afec-4eab-418a-97f5-e5ecbb79e3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CB3D3A8153DA4CA1605653C4FAEF51" ma:contentTypeVersion="15" ma:contentTypeDescription="Create a new document." ma:contentTypeScope="" ma:versionID="33d6b2357edbb63b761bf287310ca06b">
  <xsd:schema xmlns:xsd="http://www.w3.org/2001/XMLSchema" xmlns:xs="http://www.w3.org/2001/XMLSchema" xmlns:p="http://schemas.microsoft.com/office/2006/metadata/properties" xmlns:ns3="7826afec-4eab-418a-97f5-e5ecbb79e30b" xmlns:ns4="dfb0ac5f-9ad4-4c44-8c57-35f52585d434" targetNamespace="http://schemas.microsoft.com/office/2006/metadata/properties" ma:root="true" ma:fieldsID="cef76fff6aba795b46767f9e60ff3884" ns3:_="" ns4:_="">
    <xsd:import namespace="7826afec-4eab-418a-97f5-e5ecbb79e30b"/>
    <xsd:import namespace="dfb0ac5f-9ad4-4c44-8c57-35f52585d43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6afec-4eab-418a-97f5-e5ecbb79e30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0ac5f-9ad4-4c44-8c57-35f52585d43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41212-FD7A-4547-A9B6-AD3DC64693BF}">
  <ds:schemaRefs>
    <ds:schemaRef ds:uri="http://schemas.microsoft.com/office/2006/metadata/properties"/>
    <ds:schemaRef ds:uri="http://schemas.microsoft.com/office/infopath/2007/PartnerControls"/>
    <ds:schemaRef ds:uri="7826afec-4eab-418a-97f5-e5ecbb79e30b"/>
  </ds:schemaRefs>
</ds:datastoreItem>
</file>

<file path=customXml/itemProps2.xml><?xml version="1.0" encoding="utf-8"?>
<ds:datastoreItem xmlns:ds="http://schemas.openxmlformats.org/officeDocument/2006/customXml" ds:itemID="{5C20B25C-BB71-45E8-881B-40999646E057}">
  <ds:schemaRefs>
    <ds:schemaRef ds:uri="http://schemas.microsoft.com/sharepoint/v3/contenttype/forms"/>
  </ds:schemaRefs>
</ds:datastoreItem>
</file>

<file path=customXml/itemProps3.xml><?xml version="1.0" encoding="utf-8"?>
<ds:datastoreItem xmlns:ds="http://schemas.openxmlformats.org/officeDocument/2006/customXml" ds:itemID="{6FA1B8CB-9409-4D45-9F9B-441C0A1EB23C}">
  <ds:schemaRefs>
    <ds:schemaRef ds:uri="http://schemas.openxmlformats.org/officeDocument/2006/bibliography"/>
  </ds:schemaRefs>
</ds:datastoreItem>
</file>

<file path=customXml/itemProps4.xml><?xml version="1.0" encoding="utf-8"?>
<ds:datastoreItem xmlns:ds="http://schemas.openxmlformats.org/officeDocument/2006/customXml" ds:itemID="{00438040-AA67-4365-8455-A83791DB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6afec-4eab-418a-97f5-e5ecbb79e30b"/>
    <ds:schemaRef ds:uri="dfb0ac5f-9ad4-4c44-8c57-35f52585d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4751</Words>
  <Characters>26131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Rodriguez</dc:creator>
  <cp:keywords/>
  <dc:description/>
  <cp:lastModifiedBy>Miosotis Cabral</cp:lastModifiedBy>
  <cp:revision>3</cp:revision>
  <cp:lastPrinted>2024-09-12T16:06:00Z</cp:lastPrinted>
  <dcterms:created xsi:type="dcterms:W3CDTF">2024-11-07T17:13:00Z</dcterms:created>
  <dcterms:modified xsi:type="dcterms:W3CDTF">2024-11-07T17:15:00Z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0x0101007ACB3D3A8153DA4CA1605653C4FAEF51</vt:lpwstr>
  </property>
</Properties>
</file>